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山</w:t>
      </w:r>
      <w:r>
        <w:rPr>
          <w:rFonts w:hint="eastAsia" w:ascii="黑体" w:eastAsia="黑体"/>
          <w:b w:val="0"/>
          <w:w w:val="100"/>
          <w:sz w:val="48"/>
        </w:rPr>
        <w:t>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14/T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1568</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rPr>
        <w:t>代替</w:t>
      </w:r>
      <w:r>
        <w:rPr>
          <w:rFonts w:hAnsi="黑体"/>
        </w:rPr>
        <w:t xml:space="preserve"> DB14/T 1568—2018</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设施蔬菜固碳生产技术规程</w:t>
      </w:r>
      <w:r>
        <w:cr/>
      </w:r>
      <w:r>
        <w:t>日光温室生菜</w:t>
      </w:r>
      <w:r>
        <w:fldChar w:fldCharType="end"/>
      </w:r>
      <w:bookmarkEnd w:id="9"/>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Ansi="黑体"/>
          <w:w w:val="100"/>
          <w:sz w:val="28"/>
        </w:rPr>
        <w:t>山</w:t>
      </w:r>
      <w:r>
        <w:rPr>
          <w:rFonts w:hint="eastAsia" w:hAnsi="黑体"/>
          <w:w w:val="100"/>
          <w:sz w:val="28"/>
        </w:rPr>
        <w:t>西省市场监督管理局</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19" w:name="BookMark1"/>
      <w:bookmarkStart w:id="20" w:name="_Toc163062008"/>
      <w:bookmarkStart w:id="21" w:name="_Toc162433375"/>
      <w:bookmarkStart w:id="22" w:name="_Toc163061974"/>
      <w:bookmarkStart w:id="23" w:name="_Toc162972205"/>
      <w:bookmarkStart w:id="24" w:name="_Toc163062065"/>
      <w:bookmarkStart w:id="25" w:name="_Toc162440332"/>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"_Toc164455674" </w:instrText>
      </w:r>
      <w:r>
        <w:fldChar w:fldCharType="separate"/>
      </w:r>
      <w:r>
        <w:rPr>
          <w:rStyle w:val="32"/>
        </w:rPr>
        <w:t>前言</w:t>
      </w:r>
      <w:r>
        <w:tab/>
      </w:r>
      <w:r>
        <w:fldChar w:fldCharType="begin"/>
      </w:r>
      <w:r>
        <w:instrText xml:space="preserve"> PAGEREF _Toc164455674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"_Toc164455675" </w:instrText>
      </w:r>
      <w:r>
        <w:fldChar w:fldCharType="separate"/>
      </w:r>
      <w:r>
        <w:rPr>
          <w:rStyle w:val="32"/>
        </w:rPr>
        <w:t>1  范围</w:t>
      </w:r>
      <w:r>
        <w:tab/>
      </w:r>
      <w:r>
        <w:fldChar w:fldCharType="begin"/>
      </w:r>
      <w:r>
        <w:instrText xml:space="preserve"> PAGEREF _Toc164455675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"_Toc164455676" </w:instrText>
      </w:r>
      <w:r>
        <w:fldChar w:fldCharType="separate"/>
      </w:r>
      <w:r>
        <w:rPr>
          <w:rStyle w:val="32"/>
        </w:rPr>
        <w:t>2  规范性引用文件</w:t>
      </w:r>
      <w:r>
        <w:tab/>
      </w:r>
      <w:r>
        <w:fldChar w:fldCharType="begin"/>
      </w:r>
      <w:r>
        <w:instrText xml:space="preserve"> PAGEREF _Toc164455676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"_Toc164455677" </w:instrText>
      </w:r>
      <w:r>
        <w:fldChar w:fldCharType="separate"/>
      </w:r>
      <w:r>
        <w:rPr>
          <w:rStyle w:val="32"/>
        </w:rPr>
        <w:t>3  术语和定义</w:t>
      </w:r>
      <w:r>
        <w:tab/>
      </w:r>
      <w:r>
        <w:fldChar w:fldCharType="begin"/>
      </w:r>
      <w:r>
        <w:instrText xml:space="preserve"> PAGEREF _Toc164455677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"_Toc164455678" </w:instrText>
      </w:r>
      <w:r>
        <w:fldChar w:fldCharType="separate"/>
      </w:r>
      <w:r>
        <w:rPr>
          <w:rStyle w:val="32"/>
        </w:rPr>
        <w:t>4  温室结构与性能</w:t>
      </w:r>
      <w:r>
        <w:tab/>
      </w:r>
      <w:r>
        <w:fldChar w:fldCharType="begin"/>
      </w:r>
      <w:r>
        <w:instrText xml:space="preserve"> PAGEREF _Toc164455678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"_Toc164455679" </w:instrText>
      </w:r>
      <w:r>
        <w:fldChar w:fldCharType="separate"/>
      </w:r>
      <w:r>
        <w:rPr>
          <w:rStyle w:val="32"/>
        </w:rPr>
        <w:t>5  茬口安排</w:t>
      </w:r>
      <w:r>
        <w:tab/>
      </w:r>
      <w:r>
        <w:fldChar w:fldCharType="begin"/>
      </w:r>
      <w:r>
        <w:instrText xml:space="preserve"> PAGEREF _Toc164455679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"_Toc164455680" </w:instrText>
      </w:r>
      <w:r>
        <w:fldChar w:fldCharType="separate"/>
      </w:r>
      <w:r>
        <w:rPr>
          <w:rStyle w:val="32"/>
        </w:rPr>
        <w:t>6  种苗</w:t>
      </w:r>
      <w:r>
        <w:tab/>
      </w:r>
      <w:r>
        <w:fldChar w:fldCharType="begin"/>
      </w:r>
      <w:r>
        <w:instrText xml:space="preserve"> PAGEREF _Toc164455680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"_Toc164455681" </w:instrText>
      </w:r>
      <w:r>
        <w:fldChar w:fldCharType="separate"/>
      </w:r>
      <w:r>
        <w:rPr>
          <w:rStyle w:val="32"/>
        </w:rPr>
        <w:t>7  整地施肥</w:t>
      </w:r>
      <w:r>
        <w:tab/>
      </w:r>
      <w:r>
        <w:fldChar w:fldCharType="begin"/>
      </w:r>
      <w:r>
        <w:instrText xml:space="preserve"> PAGEREF _Toc164455681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"_Toc164455682" </w:instrText>
      </w:r>
      <w:r>
        <w:fldChar w:fldCharType="separate"/>
      </w:r>
      <w:r>
        <w:rPr>
          <w:rStyle w:val="32"/>
        </w:rPr>
        <w:t>8  定植</w:t>
      </w:r>
      <w:r>
        <w:tab/>
      </w:r>
      <w:r>
        <w:fldChar w:fldCharType="begin"/>
      </w:r>
      <w:r>
        <w:instrText xml:space="preserve"> PAGEREF _Toc164455682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"_Toc164455683" </w:instrText>
      </w:r>
      <w:r>
        <w:fldChar w:fldCharType="separate"/>
      </w:r>
      <w:r>
        <w:rPr>
          <w:rStyle w:val="32"/>
        </w:rPr>
        <w:t>9  田间管理</w:t>
      </w:r>
      <w:r>
        <w:tab/>
      </w:r>
      <w:r>
        <w:fldChar w:fldCharType="begin"/>
      </w:r>
      <w:r>
        <w:instrText xml:space="preserve"> PAGEREF _Toc164455683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"_Toc164455684" </w:instrText>
      </w:r>
      <w:r>
        <w:fldChar w:fldCharType="separate"/>
      </w:r>
      <w:r>
        <w:rPr>
          <w:rStyle w:val="32"/>
        </w:rPr>
        <w:t>10  二氧化碳施肥</w:t>
      </w:r>
      <w:r>
        <w:tab/>
      </w:r>
      <w:r>
        <w:fldChar w:fldCharType="begin"/>
      </w:r>
      <w:r>
        <w:instrText xml:space="preserve"> PAGEREF _Toc164455684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"_Toc164455685" </w:instrText>
      </w:r>
      <w:r>
        <w:fldChar w:fldCharType="separate"/>
      </w:r>
      <w:r>
        <w:rPr>
          <w:rStyle w:val="32"/>
        </w:rPr>
        <w:t>11  病虫害防治</w:t>
      </w:r>
      <w:r>
        <w:tab/>
      </w:r>
      <w:r>
        <w:fldChar w:fldCharType="begin"/>
      </w:r>
      <w:r>
        <w:instrText xml:space="preserve"> PAGEREF _Toc164455685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"_Toc164455686" </w:instrText>
      </w:r>
      <w:r>
        <w:fldChar w:fldCharType="separate"/>
      </w:r>
      <w:r>
        <w:rPr>
          <w:rStyle w:val="32"/>
        </w:rPr>
        <w:t>12  采收</w:t>
      </w:r>
      <w:r>
        <w:tab/>
      </w:r>
      <w:r>
        <w:fldChar w:fldCharType="begin"/>
      </w:r>
      <w:r>
        <w:instrText xml:space="preserve"> PAGEREF _Toc164455686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"_Toc164455687" </w:instrText>
      </w:r>
      <w:r>
        <w:fldChar w:fldCharType="separate"/>
      </w:r>
      <w:r>
        <w:rPr>
          <w:rStyle w:val="32"/>
        </w:rPr>
        <w:t>13  生产档案</w:t>
      </w:r>
      <w:r>
        <w:tab/>
      </w:r>
      <w:r>
        <w:fldChar w:fldCharType="begin"/>
      </w:r>
      <w:r>
        <w:instrText xml:space="preserve"> PAGEREF _Toc164455687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"_Toc164455688" </w:instrText>
      </w:r>
      <w:r>
        <w:fldChar w:fldCharType="separate"/>
      </w:r>
      <w:r>
        <w:rPr>
          <w:rStyle w:val="32"/>
        </w:rPr>
        <w:t>附录A（资料性）  生产档案记录表</w:t>
      </w:r>
      <w:r>
        <w:tab/>
      </w:r>
      <w:r>
        <w:fldChar w:fldCharType="begin"/>
      </w:r>
      <w:r>
        <w:instrText xml:space="preserve"> PAGEREF _Toc164455688 \h </w:instrText>
      </w:r>
      <w:r>
        <w:fldChar w:fldCharType="separate"/>
      </w:r>
      <w:r>
        <w:t>4</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pPr>
        <w:pStyle w:val="89"/>
      </w:pPr>
      <w:bookmarkStart w:id="26" w:name="_Toc164455674"/>
      <w:bookmarkStart w:id="27" w:name="BookMark2"/>
      <w:r>
        <w:rPr>
          <w:spacing w:val="320"/>
        </w:rPr>
        <w:t>前</w:t>
      </w:r>
      <w:r>
        <w:t>言</w:t>
      </w:r>
      <w:bookmarkEnd w:id="20"/>
      <w:bookmarkEnd w:id="21"/>
      <w:bookmarkEnd w:id="22"/>
      <w:bookmarkEnd w:id="23"/>
      <w:bookmarkEnd w:id="24"/>
      <w:bookmarkEnd w:id="25"/>
      <w:bookmarkEnd w:id="26"/>
    </w:p>
    <w:p>
      <w:pPr>
        <w:pStyle w:val="56"/>
        <w:ind w:firstLine="420"/>
      </w:pPr>
      <w:r>
        <w:rPr>
          <w:rFonts w:hint="eastAsia"/>
        </w:rPr>
        <w:t>本文件按照GB/T</w:t>
      </w:r>
      <w:r>
        <w:rPr>
          <w:rFonts w:ascii="Times New Roman"/>
        </w:rPr>
        <w:t xml:space="preserve"> </w:t>
      </w:r>
      <w:r>
        <w:rPr>
          <w:rFonts w:hint="eastAsia"/>
        </w:rPr>
        <w:t>1.1—2020《标准化工作导则  第1部分：标准化文件的结构和起草规则》的规定起草。</w:t>
      </w:r>
    </w:p>
    <w:p>
      <w:pPr>
        <w:pStyle w:val="56"/>
        <w:ind w:firstLine="420"/>
      </w:pPr>
      <w:r>
        <w:rPr>
          <w:rFonts w:hint="eastAsia"/>
        </w:rPr>
        <w:t>本文件是“设施蔬菜固碳生产技术规程”系列标准之一。本系列标准由以下文件组成：</w:t>
      </w:r>
    </w:p>
    <w:p>
      <w:pPr>
        <w:pStyle w:val="56"/>
        <w:ind w:firstLine="420"/>
      </w:pPr>
      <w:r>
        <w:rPr>
          <w:rFonts w:hint="eastAsia"/>
        </w:rPr>
        <w:t>——DB14/T 1288  设施蔬菜二氧化碳施肥技术规程</w:t>
      </w:r>
    </w:p>
    <w:p>
      <w:pPr>
        <w:pStyle w:val="56"/>
        <w:ind w:firstLine="420"/>
      </w:pPr>
      <w:r>
        <w:rPr>
          <w:rFonts w:hint="eastAsia"/>
        </w:rPr>
        <w:t>——DB14/T 1287  设施蔬菜固碳生产技术规程 日光温室结构与性能</w:t>
      </w:r>
    </w:p>
    <w:p>
      <w:pPr>
        <w:pStyle w:val="56"/>
        <w:ind w:firstLine="420"/>
      </w:pPr>
      <w:r>
        <w:rPr>
          <w:rFonts w:hint="eastAsia"/>
        </w:rPr>
        <w:t>——DB14/T 1281  设施蔬菜固碳生产技术规程 果菜类育苗</w:t>
      </w:r>
    </w:p>
    <w:p>
      <w:pPr>
        <w:pStyle w:val="56"/>
        <w:ind w:firstLine="420"/>
      </w:pPr>
      <w:r>
        <w:rPr>
          <w:rFonts w:hint="eastAsia"/>
        </w:rPr>
        <w:t>——DB14/T 1279  设施蔬菜固碳生产技术规程 日光温室番茄</w:t>
      </w:r>
    </w:p>
    <w:p>
      <w:pPr>
        <w:pStyle w:val="56"/>
        <w:ind w:firstLine="420"/>
      </w:pPr>
      <w:r>
        <w:rPr>
          <w:rFonts w:hint="eastAsia"/>
        </w:rPr>
        <w:t>——DB14/T 1282  设施蔬菜固碳生产技术规程 日光温室黄瓜</w:t>
      </w:r>
    </w:p>
    <w:p>
      <w:pPr>
        <w:pStyle w:val="56"/>
        <w:ind w:firstLine="420"/>
      </w:pPr>
      <w:r>
        <w:rPr>
          <w:rFonts w:hint="eastAsia"/>
        </w:rPr>
        <w:t>——DB14/T 1283  设施蔬菜固碳生产技术规程 日光温室辣椒</w:t>
      </w:r>
    </w:p>
    <w:p>
      <w:pPr>
        <w:pStyle w:val="56"/>
        <w:ind w:firstLine="420"/>
      </w:pPr>
      <w:r>
        <w:rPr>
          <w:rFonts w:hint="eastAsia"/>
        </w:rPr>
        <w:t>——DB14/T 1284  设施蔬菜固碳生产技术规程 日光温室胡萝卜</w:t>
      </w:r>
    </w:p>
    <w:p>
      <w:pPr>
        <w:pStyle w:val="56"/>
        <w:ind w:firstLine="420"/>
      </w:pPr>
      <w:r>
        <w:rPr>
          <w:rFonts w:hint="eastAsia"/>
        </w:rPr>
        <w:t>——DB14/T 1286  设施蔬菜固碳生产技术规程 日光温室茄子</w:t>
      </w:r>
    </w:p>
    <w:p>
      <w:pPr>
        <w:pStyle w:val="56"/>
        <w:ind w:firstLine="420"/>
      </w:pPr>
      <w:r>
        <w:rPr>
          <w:rFonts w:hint="eastAsia"/>
        </w:rPr>
        <w:t>——DB14/T 1289  设施蔬菜固碳生产技术规程 塑料大棚番茄</w:t>
      </w:r>
    </w:p>
    <w:p>
      <w:pPr>
        <w:pStyle w:val="56"/>
        <w:ind w:firstLine="420"/>
      </w:pPr>
      <w:r>
        <w:rPr>
          <w:rFonts w:hint="eastAsia"/>
        </w:rPr>
        <w:t>——DB14/T 1555  设施蔬菜固碳生产技术规程 日光温室西芹</w:t>
      </w:r>
    </w:p>
    <w:p>
      <w:pPr>
        <w:pStyle w:val="56"/>
        <w:ind w:firstLine="420"/>
      </w:pPr>
      <w:r>
        <w:rPr>
          <w:rFonts w:hint="eastAsia"/>
        </w:rPr>
        <w:t>——DB14/T 1562  设施蔬菜固碳生产技术规程 塑料大棚茄子</w:t>
      </w:r>
    </w:p>
    <w:p>
      <w:pPr>
        <w:pStyle w:val="56"/>
        <w:ind w:firstLine="420"/>
      </w:pPr>
      <w:r>
        <w:rPr>
          <w:rFonts w:hint="eastAsia"/>
        </w:rPr>
        <w:t>——DB14/T 1563  设施蔬菜固碳生产技术规程 西瓜</w:t>
      </w:r>
    </w:p>
    <w:p>
      <w:pPr>
        <w:pStyle w:val="56"/>
        <w:ind w:firstLine="420"/>
      </w:pPr>
      <w:r>
        <w:rPr>
          <w:rFonts w:hint="eastAsia"/>
        </w:rPr>
        <w:t>——DB14/T 1564  设施蔬菜固碳生产技术规程 塑料大棚西葫芦</w:t>
      </w:r>
    </w:p>
    <w:p>
      <w:pPr>
        <w:pStyle w:val="56"/>
        <w:ind w:firstLine="420"/>
      </w:pPr>
      <w:r>
        <w:rPr>
          <w:rFonts w:hint="eastAsia"/>
        </w:rPr>
        <w:t>——DB14/T 1565  设施蔬菜固碳生产技术规程 塑料大棚黄瓜</w:t>
      </w:r>
    </w:p>
    <w:p>
      <w:pPr>
        <w:pStyle w:val="56"/>
        <w:ind w:firstLine="420"/>
      </w:pPr>
      <w:r>
        <w:rPr>
          <w:rFonts w:hint="eastAsia"/>
        </w:rPr>
        <w:t>——DB14/T 1568  设施蔬菜固碳生产技术规程 日光温室生菜</w:t>
      </w:r>
    </w:p>
    <w:p>
      <w:pPr>
        <w:pStyle w:val="56"/>
        <w:ind w:firstLine="420"/>
      </w:pPr>
      <w:r>
        <w:rPr>
          <w:rFonts w:hint="eastAsia"/>
        </w:rPr>
        <w:t>——DB14/T 1569  设施蔬菜固碳生产技术规程 日光温室西葫芦</w:t>
      </w:r>
    </w:p>
    <w:p>
      <w:pPr>
        <w:pStyle w:val="56"/>
        <w:ind w:firstLine="420"/>
      </w:pPr>
      <w:r>
        <w:rPr>
          <w:rFonts w:hint="eastAsia"/>
        </w:rPr>
        <w:t>本文件代替DB14/T</w:t>
      </w:r>
      <w:r>
        <w:rPr>
          <w:rFonts w:ascii="Times New Roman"/>
        </w:rPr>
        <w:t xml:space="preserve"> </w:t>
      </w:r>
      <w:r>
        <w:rPr>
          <w:rFonts w:hint="eastAsia"/>
        </w:rPr>
        <w:t>1568—2018《日光温室生菜高效固碳生产技术规程》，与DB14/T</w:t>
      </w:r>
      <w:r>
        <w:rPr>
          <w:rFonts w:ascii="Times New Roman"/>
        </w:rPr>
        <w:t xml:space="preserve"> </w:t>
      </w:r>
      <w:r>
        <w:rPr>
          <w:rFonts w:hint="eastAsia"/>
        </w:rPr>
        <w:t>1568—2018相比，除结构调整和编辑性改动外，主要技术变化如下:</w:t>
      </w:r>
    </w:p>
    <w:p>
      <w:pPr>
        <w:pStyle w:val="56"/>
        <w:ind w:firstLine="420"/>
      </w:pPr>
      <w:r>
        <w:rPr>
          <w:rFonts w:hint="eastAsia"/>
        </w:rPr>
        <w:t>——增加了茬口安排（见第5章）；</w:t>
      </w:r>
    </w:p>
    <w:p>
      <w:pPr>
        <w:pStyle w:val="56"/>
        <w:ind w:firstLine="420"/>
      </w:pPr>
      <w:r>
        <w:rPr>
          <w:rFonts w:hint="eastAsia"/>
        </w:rPr>
        <w:t>——更改了品种选择（见6.1，2018年版的5.1）；</w:t>
      </w:r>
    </w:p>
    <w:p>
      <w:pPr>
        <w:pStyle w:val="56"/>
        <w:ind w:firstLine="420"/>
      </w:pPr>
      <w:r>
        <w:rPr>
          <w:rFonts w:hint="eastAsia"/>
        </w:rPr>
        <w:t>——更改了穴盘育苗（见6.2，2018年版的5.2）；</w:t>
      </w:r>
    </w:p>
    <w:p>
      <w:pPr>
        <w:pStyle w:val="56"/>
        <w:ind w:firstLine="420"/>
      </w:pPr>
      <w:r>
        <w:rPr>
          <w:rFonts w:hint="eastAsia"/>
        </w:rPr>
        <w:t>——更改了整地施肥（见第7章，2018年版的第6章）；</w:t>
      </w:r>
    </w:p>
    <w:p>
      <w:pPr>
        <w:pStyle w:val="56"/>
        <w:ind w:firstLine="420"/>
      </w:pPr>
      <w:r>
        <w:rPr>
          <w:rFonts w:hint="eastAsia"/>
        </w:rPr>
        <w:t>——更改了定植方法（见8.2，2018年版的7.3）；</w:t>
      </w:r>
    </w:p>
    <w:p>
      <w:pPr>
        <w:pStyle w:val="56"/>
        <w:ind w:firstLine="420"/>
      </w:pPr>
      <w:r>
        <w:rPr>
          <w:rFonts w:hint="eastAsia"/>
        </w:rPr>
        <w:t>——更改了二氧化碳施肥（见第10章，2018年版的第9章）；</w:t>
      </w:r>
    </w:p>
    <w:p>
      <w:pPr>
        <w:pStyle w:val="56"/>
        <w:ind w:firstLine="420"/>
      </w:pPr>
      <w:r>
        <w:rPr>
          <w:rFonts w:hint="eastAsia"/>
        </w:rPr>
        <w:t>——更改了病虫害防治（见第11章，2018年版的第10章）。</w:t>
      </w:r>
    </w:p>
    <w:p>
      <w:pPr>
        <w:pStyle w:val="56"/>
        <w:ind w:firstLine="420"/>
      </w:pPr>
      <w:r>
        <w:rPr>
          <w:rFonts w:hint="eastAsia"/>
        </w:rPr>
        <w:t>本文件由山西省农业农村厅提出、组织实施和监督检查。</w:t>
      </w:r>
    </w:p>
    <w:p>
      <w:pPr>
        <w:pStyle w:val="56"/>
        <w:ind w:firstLine="420"/>
      </w:pPr>
      <w:r>
        <w:rPr>
          <w:rFonts w:hint="eastAsia"/>
        </w:rPr>
        <w:t>山西省市场监督管理局对标准的组织实施情况进行监督检查。</w:t>
      </w:r>
    </w:p>
    <w:p>
      <w:pPr>
        <w:pStyle w:val="56"/>
        <w:ind w:firstLine="420"/>
      </w:pPr>
      <w:r>
        <w:rPr>
          <w:rFonts w:hint="eastAsia"/>
        </w:rPr>
        <w:t>本文件由山西省农业标准化技术委员会（SXS/TC19）归口。</w:t>
      </w:r>
    </w:p>
    <w:p>
      <w:pPr>
        <w:pStyle w:val="56"/>
        <w:ind w:firstLine="420"/>
      </w:pPr>
      <w:r>
        <w:rPr>
          <w:rFonts w:hint="eastAsia"/>
        </w:rPr>
        <w:t>本文件起草单位：山西农业大学、山西省左云县鹊儿山镇便民服务中心。</w:t>
      </w:r>
    </w:p>
    <w:p>
      <w:pPr>
        <w:pStyle w:val="56"/>
        <w:ind w:firstLine="420"/>
      </w:pPr>
      <w:r>
        <w:rPr>
          <w:rFonts w:hint="eastAsia"/>
        </w:rPr>
        <w:t>本文件主要起草人：王军娥、</w:t>
      </w:r>
      <w:r>
        <w:rPr>
          <w:rFonts w:hint="eastAsia"/>
          <w:lang w:val="en-US" w:eastAsia="zh-CN"/>
        </w:rPr>
        <w:t>杨秀、</w:t>
      </w:r>
      <w:r>
        <w:rPr>
          <w:rFonts w:hint="eastAsia"/>
        </w:rPr>
        <w:t>李云霞、侯雷平</w:t>
      </w:r>
      <w:r>
        <w:rPr>
          <w:rFonts w:hint="eastAsia"/>
          <w:lang w:eastAsia="zh-CN"/>
        </w:rPr>
        <w:t>、</w:t>
      </w:r>
      <w:bookmarkStart w:id="140" w:name="_GoBack"/>
      <w:bookmarkEnd w:id="140"/>
      <w:r>
        <w:rPr>
          <w:rFonts w:hint="eastAsia"/>
        </w:rPr>
        <w:t>宋红霞、张静、石玉、郑少文、邢国明。</w:t>
      </w:r>
    </w:p>
    <w:p>
      <w:pPr>
        <w:pStyle w:val="56"/>
        <w:ind w:firstLine="420"/>
      </w:pPr>
      <w:r>
        <w:rPr>
          <w:rFonts w:hint="eastAsia"/>
        </w:rPr>
        <w:t>本文件及其所代替文件的历次版本发布情况为：</w:t>
      </w:r>
    </w:p>
    <w:p>
      <w:pPr>
        <w:pStyle w:val="56"/>
        <w:ind w:firstLine="420"/>
      </w:pPr>
      <w:r>
        <w:rPr>
          <w:rFonts w:hint="eastAsia"/>
        </w:rPr>
        <w:t>——2018年首次发布为DB14/T</w:t>
      </w:r>
      <w:r>
        <w:rPr>
          <w:rFonts w:ascii="Times New Roman"/>
        </w:rPr>
        <w:t xml:space="preserve"> </w:t>
      </w:r>
      <w:r>
        <w:rPr>
          <w:rFonts w:hint="eastAsia"/>
        </w:rPr>
        <w:t>1568—2018；</w:t>
      </w:r>
    </w:p>
    <w:p>
      <w:pPr>
        <w:pStyle w:val="56"/>
        <w:ind w:firstLine="420"/>
      </w:pPr>
      <w:r>
        <w:rPr>
          <w:rFonts w:hint="eastAsia"/>
        </w:rPr>
        <w:t>——本次为第一次修订。</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7"/>
    <w:p>
      <w:pPr>
        <w:spacing w:line="20" w:lineRule="exact"/>
        <w:jc w:val="center"/>
        <w:rPr>
          <w:rFonts w:ascii="黑体" w:hAnsi="黑体" w:eastAsia="黑体"/>
          <w:sz w:val="32"/>
          <w:szCs w:val="32"/>
        </w:rPr>
      </w:pPr>
      <w:bookmarkStart w:id="28" w:name="BookMark4"/>
    </w:p>
    <w:p>
      <w:pPr>
        <w:spacing w:line="20" w:lineRule="exact"/>
        <w:jc w:val="center"/>
        <w:rPr>
          <w:rFonts w:ascii="黑体" w:hAnsi="黑体" w:eastAsia="黑体"/>
          <w:sz w:val="32"/>
          <w:szCs w:val="32"/>
        </w:rPr>
      </w:pPr>
    </w:p>
    <w:sdt>
      <w:sdtPr>
        <w:tag w:val="NEW_STAND_NAME"/>
        <w:id w:val="595910757"/>
        <w:lock w:val="sdtLocked"/>
        <w:placeholder>
          <w:docPart w:val="E012349448214F8B9122B933ED4AA7AE"/>
        </w:placeholder>
      </w:sdtPr>
      <w:sdtContent>
        <w:p>
          <w:pPr>
            <w:pStyle w:val="177"/>
            <w:spacing w:before="3" w:beforeLines="1" w:after="3" w:afterLines="1"/>
          </w:pPr>
          <w:bookmarkStart w:id="29" w:name="NEW_STAND_NAME"/>
          <w:r>
            <w:rPr>
              <w:rFonts w:hint="eastAsia"/>
            </w:rPr>
            <w:t>设施蔬菜固碳生产技术规程</w:t>
          </w:r>
        </w:p>
        <w:p>
          <w:pPr>
            <w:pStyle w:val="177"/>
            <w:spacing w:before="3" w:beforeLines="1" w:after="680"/>
          </w:pPr>
          <w:r>
            <w:rPr>
              <w:rFonts w:hint="eastAsia"/>
            </w:rPr>
            <w:t>日光温室生菜</w:t>
          </w:r>
        </w:p>
      </w:sdtContent>
    </w:sdt>
    <w:bookmarkEnd w:id="29"/>
    <w:p>
      <w:pPr>
        <w:pStyle w:val="104"/>
        <w:spacing w:before="312" w:after="312"/>
      </w:pPr>
      <w:bookmarkStart w:id="30" w:name="_Toc17233325"/>
      <w:bookmarkStart w:id="31" w:name="_Toc162972206"/>
      <w:bookmarkStart w:id="32" w:name="_Toc26718930"/>
      <w:bookmarkStart w:id="33" w:name="_Toc26986530"/>
      <w:bookmarkStart w:id="34" w:name="_Toc163062009"/>
      <w:bookmarkStart w:id="35" w:name="_Toc26648465"/>
      <w:bookmarkStart w:id="36" w:name="_Toc97191423"/>
      <w:bookmarkStart w:id="37" w:name="_Toc163062066"/>
      <w:bookmarkStart w:id="38" w:name="_Toc26986771"/>
      <w:bookmarkStart w:id="39" w:name="_Toc162440333"/>
      <w:bookmarkStart w:id="40" w:name="_Toc17233333"/>
      <w:bookmarkStart w:id="41" w:name="_Toc162433376"/>
      <w:bookmarkStart w:id="42" w:name="_Toc24884211"/>
      <w:bookmarkStart w:id="43" w:name="_Toc24884218"/>
      <w:bookmarkStart w:id="44" w:name="_Toc163061975"/>
      <w:bookmarkStart w:id="45" w:name="_Toc164455675"/>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pStyle w:val="56"/>
        <w:ind w:firstLine="420"/>
      </w:pPr>
      <w:bookmarkStart w:id="46" w:name="_Toc24884212"/>
      <w:bookmarkStart w:id="47" w:name="_Toc24884219"/>
      <w:bookmarkStart w:id="48" w:name="_Toc26648466"/>
      <w:bookmarkStart w:id="49" w:name="_Toc17233326"/>
      <w:bookmarkStart w:id="50" w:name="_Toc17233334"/>
      <w:r>
        <w:rPr>
          <w:rFonts w:hint="eastAsia"/>
        </w:rPr>
        <w:t>本文件规定了日光温室生菜固碳生产的术语和定义、温室结构与性能、茬口安排、种苗、整地施肥、定植、田间管理、二氧化碳施肥、病虫害防治、采收和生产档案的内容。</w:t>
      </w:r>
    </w:p>
    <w:p>
      <w:pPr>
        <w:pStyle w:val="56"/>
        <w:ind w:firstLine="420"/>
      </w:pPr>
      <w:r>
        <w:rPr>
          <w:rFonts w:hint="eastAsia"/>
        </w:rPr>
        <w:t>本文件适用于日光温室生菜固碳生产。</w:t>
      </w:r>
    </w:p>
    <w:p>
      <w:pPr>
        <w:pStyle w:val="104"/>
        <w:spacing w:before="312" w:after="312"/>
      </w:pPr>
      <w:bookmarkStart w:id="51" w:name="_Toc26718931"/>
      <w:bookmarkStart w:id="52" w:name="_Toc162972207"/>
      <w:bookmarkStart w:id="53" w:name="_Toc163062010"/>
      <w:bookmarkStart w:id="54" w:name="_Toc97191424"/>
      <w:bookmarkStart w:id="55" w:name="_Toc163062067"/>
      <w:bookmarkStart w:id="56" w:name="_Toc162433377"/>
      <w:bookmarkStart w:id="57" w:name="_Toc26986772"/>
      <w:bookmarkStart w:id="58" w:name="_Toc164455676"/>
      <w:bookmarkStart w:id="59" w:name="_Toc162440334"/>
      <w:bookmarkStart w:id="60" w:name="_Toc163061976"/>
      <w:bookmarkStart w:id="61" w:name="_Toc26986531"/>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sdt>
      <w:sdtPr>
        <w:rPr>
          <w:rFonts w:hint="eastAsia"/>
        </w:rPr>
        <w:id w:val="715848253"/>
        <w:placeholder>
          <w:docPart w:val="F0E08791BE204F10A7ED23E2158DC23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w:t>
      </w:r>
      <w:r>
        <w:rPr>
          <w:rFonts w:ascii="Times New Roman"/>
        </w:rPr>
        <w:t xml:space="preserve"> </w:t>
      </w:r>
      <w:r>
        <w:rPr>
          <w:rFonts w:hint="eastAsia"/>
        </w:rPr>
        <w:t>16715.5  瓜菜作物种子 第5部分：绿叶菜类</w:t>
      </w:r>
    </w:p>
    <w:p>
      <w:pPr>
        <w:pStyle w:val="56"/>
        <w:ind w:firstLine="420"/>
      </w:pPr>
      <w:r>
        <w:rPr>
          <w:rFonts w:hint="eastAsia"/>
        </w:rPr>
        <w:t>GB/T</w:t>
      </w:r>
      <w:r>
        <w:rPr>
          <w:rFonts w:ascii="Times New Roman"/>
        </w:rPr>
        <w:t xml:space="preserve"> </w:t>
      </w:r>
      <w:r>
        <w:rPr>
          <w:rFonts w:hint="eastAsia"/>
        </w:rPr>
        <w:t>17187  农业灌溉设备 滴头和滴灌管 技术规范和试验方法</w:t>
      </w:r>
    </w:p>
    <w:p>
      <w:pPr>
        <w:pStyle w:val="56"/>
        <w:ind w:firstLine="420"/>
      </w:pPr>
      <w:r>
        <w:rPr>
          <w:rFonts w:hint="eastAsia"/>
        </w:rPr>
        <w:t>GB/T</w:t>
      </w:r>
      <w:r>
        <w:rPr>
          <w:rFonts w:ascii="Times New Roman"/>
        </w:rPr>
        <w:t xml:space="preserve"> </w:t>
      </w:r>
      <w:r>
        <w:rPr>
          <w:rFonts w:hint="eastAsia"/>
        </w:rPr>
        <w:t>23416.6  蔬菜病虫害安全防治技术规范　第6部分：绿叶菜类</w:t>
      </w:r>
    </w:p>
    <w:p>
      <w:pPr>
        <w:pStyle w:val="56"/>
        <w:ind w:firstLine="420"/>
      </w:pPr>
      <w:r>
        <w:rPr>
          <w:rFonts w:hint="eastAsia"/>
        </w:rPr>
        <w:t>NY/T</w:t>
      </w:r>
      <w:r>
        <w:rPr>
          <w:rFonts w:ascii="Times New Roman"/>
        </w:rPr>
        <w:t xml:space="preserve"> </w:t>
      </w:r>
      <w:r>
        <w:rPr>
          <w:rFonts w:hint="eastAsia"/>
        </w:rPr>
        <w:t xml:space="preserve">2119  蔬菜穴盘育苗  通则 </w:t>
      </w:r>
    </w:p>
    <w:p>
      <w:pPr>
        <w:pStyle w:val="56"/>
        <w:ind w:firstLine="420"/>
      </w:pPr>
      <w:r>
        <w:rPr>
          <w:rFonts w:hint="eastAsia"/>
        </w:rPr>
        <w:t>DB14/T</w:t>
      </w:r>
      <w:r>
        <w:rPr>
          <w:rFonts w:ascii="Times New Roman"/>
        </w:rPr>
        <w:t xml:space="preserve"> </w:t>
      </w:r>
      <w:r>
        <w:rPr>
          <w:rFonts w:hint="eastAsia"/>
        </w:rPr>
        <w:t>1287  设施蔬菜固碳生产技术规程  日光温室结构与性能</w:t>
      </w:r>
    </w:p>
    <w:p>
      <w:pPr>
        <w:pStyle w:val="56"/>
        <w:ind w:firstLine="420"/>
      </w:pPr>
      <w:r>
        <w:rPr>
          <w:rFonts w:hint="eastAsia"/>
        </w:rPr>
        <w:t>DB14/T</w:t>
      </w:r>
      <w:r>
        <w:rPr>
          <w:rFonts w:ascii="Times New Roman"/>
        </w:rPr>
        <w:t xml:space="preserve"> </w:t>
      </w:r>
      <w:r>
        <w:rPr>
          <w:rFonts w:hint="eastAsia"/>
        </w:rPr>
        <w:t>1288  设施蔬菜二氧化碳施肥技术规程</w:t>
      </w:r>
    </w:p>
    <w:p>
      <w:pPr>
        <w:pStyle w:val="104"/>
        <w:spacing w:before="312" w:after="312"/>
      </w:pPr>
      <w:bookmarkStart w:id="62" w:name="_Toc162440335"/>
      <w:bookmarkStart w:id="63" w:name="_Toc163062011"/>
      <w:bookmarkStart w:id="64" w:name="_Toc162433378"/>
      <w:bookmarkStart w:id="65" w:name="_Toc163061977"/>
      <w:bookmarkStart w:id="66" w:name="_Toc162972208"/>
      <w:bookmarkStart w:id="67" w:name="_Toc163062068"/>
      <w:bookmarkStart w:id="68" w:name="_Toc97191425"/>
      <w:bookmarkStart w:id="69" w:name="_Toc164455677"/>
      <w:r>
        <w:rPr>
          <w:rFonts w:hint="eastAsia"/>
          <w:szCs w:val="21"/>
        </w:rPr>
        <w:t>术语和定义</w:t>
      </w:r>
      <w:bookmarkEnd w:id="62"/>
      <w:bookmarkEnd w:id="63"/>
      <w:bookmarkEnd w:id="64"/>
      <w:bookmarkEnd w:id="65"/>
      <w:bookmarkEnd w:id="66"/>
      <w:bookmarkEnd w:id="67"/>
      <w:bookmarkEnd w:id="68"/>
      <w:bookmarkEnd w:id="69"/>
    </w:p>
    <w:sdt>
      <w:sdtPr>
        <w:id w:val="-1909835108"/>
        <w:placeholder>
          <w:docPart w:val="971594C601DA4A63B604A96D11F5EF2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70" w:name="_Toc26986532"/>
          <w:bookmarkEnd w:id="70"/>
          <w:r>
            <w:t>下列术语和定义适用于本文件。</w:t>
          </w:r>
        </w:p>
      </w:sdtContent>
    </w:sdt>
    <w:p>
      <w:pPr>
        <w:pStyle w:val="105"/>
        <w:spacing w:before="156" w:after="156"/>
      </w:pPr>
    </w:p>
    <w:p>
      <w:pPr>
        <w:pStyle w:val="105"/>
        <w:numPr>
          <w:ilvl w:val="2"/>
          <w:numId w:val="0"/>
        </w:numPr>
        <w:spacing w:before="156" w:after="156"/>
        <w:ind w:firstLine="420" w:firstLineChars="200"/>
      </w:pPr>
      <w:r>
        <w:rPr>
          <w:rFonts w:hint="eastAsia"/>
        </w:rPr>
        <w:t>固碳生产</w:t>
      </w:r>
    </w:p>
    <w:p>
      <w:pPr>
        <w:pStyle w:val="56"/>
        <w:ind w:firstLine="420"/>
      </w:pPr>
      <w:bookmarkStart w:id="71" w:name="_Toc162440336"/>
      <w:r>
        <w:rPr>
          <w:rFonts w:hint="eastAsia"/>
        </w:rPr>
        <w:t>在设施蔬菜生产中，通过优化设施环境，收集工业废气中的CO</w:t>
      </w:r>
      <w:r>
        <w:rPr>
          <w:rFonts w:hint="eastAsia"/>
          <w:vertAlign w:val="subscript"/>
        </w:rPr>
        <w:t>2</w:t>
      </w:r>
      <w:r>
        <w:rPr>
          <w:rFonts w:hint="eastAsia"/>
        </w:rPr>
        <w:t>并进行贮存，控制CO</w:t>
      </w:r>
      <w:r>
        <w:rPr>
          <w:rFonts w:hint="eastAsia"/>
          <w:vertAlign w:val="subscript"/>
        </w:rPr>
        <w:t>2</w:t>
      </w:r>
      <w:r>
        <w:rPr>
          <w:rFonts w:hint="eastAsia"/>
        </w:rPr>
        <w:t>施用浓度，调节CO</w:t>
      </w:r>
      <w:r>
        <w:rPr>
          <w:rFonts w:hint="eastAsia"/>
          <w:vertAlign w:val="subscript"/>
        </w:rPr>
        <w:t>2</w:t>
      </w:r>
      <w:r>
        <w:rPr>
          <w:rFonts w:hint="eastAsia"/>
        </w:rPr>
        <w:t>释放时间，配套相应的栽培管理措施，充分挖掘设施蔬菜固碳效率和增产潜力，从而达到设施蔬菜优质高产高效益的一种生产模式。</w:t>
      </w:r>
    </w:p>
    <w:p>
      <w:pPr>
        <w:pStyle w:val="104"/>
        <w:spacing w:before="312" w:after="312"/>
      </w:pPr>
      <w:bookmarkStart w:id="72" w:name="_Toc163061978"/>
      <w:bookmarkStart w:id="73" w:name="_Toc164455678"/>
      <w:bookmarkStart w:id="74" w:name="_Toc163062069"/>
      <w:bookmarkStart w:id="75" w:name="_Toc163062012"/>
      <w:bookmarkStart w:id="76" w:name="_Toc162972209"/>
      <w:r>
        <w:rPr>
          <w:rFonts w:hint="eastAsia"/>
        </w:rPr>
        <w:t>温室结构与性能</w:t>
      </w:r>
      <w:bookmarkEnd w:id="71"/>
      <w:bookmarkEnd w:id="72"/>
      <w:bookmarkEnd w:id="73"/>
      <w:bookmarkEnd w:id="74"/>
      <w:bookmarkEnd w:id="75"/>
      <w:bookmarkEnd w:id="76"/>
    </w:p>
    <w:p>
      <w:pPr>
        <w:pStyle w:val="56"/>
        <w:ind w:firstLine="420"/>
      </w:pPr>
      <w:r>
        <w:rPr>
          <w:rFonts w:hint="eastAsia"/>
        </w:rPr>
        <w:t>温室结构和性能符合DB14/T</w:t>
      </w:r>
      <w:r>
        <w:rPr>
          <w:rFonts w:ascii="Times New Roman"/>
        </w:rPr>
        <w:t xml:space="preserve"> </w:t>
      </w:r>
      <w:r>
        <w:rPr>
          <w:rFonts w:hint="eastAsia"/>
        </w:rPr>
        <w:t>1287要求。白天最高气温不高于28</w:t>
      </w:r>
      <w:r>
        <w:rPr>
          <w:rFonts w:ascii="Times New Roman"/>
        </w:rPr>
        <w:t xml:space="preserve"> </w:t>
      </w:r>
      <w:r>
        <w:rPr>
          <w:rFonts w:hint="eastAsia"/>
        </w:rPr>
        <w:t>℃，夜间最低气温不低于10</w:t>
      </w:r>
      <w:r>
        <w:rPr>
          <w:rFonts w:ascii="Times New Roman"/>
        </w:rPr>
        <w:t xml:space="preserve"> </w:t>
      </w:r>
      <w:r>
        <w:rPr>
          <w:rFonts w:hint="eastAsia"/>
        </w:rPr>
        <w:t>℃，室内10</w:t>
      </w:r>
      <w:r>
        <w:rPr>
          <w:rFonts w:ascii="Times New Roman"/>
        </w:rPr>
        <w:t xml:space="preserve"> </w:t>
      </w:r>
      <w:r>
        <w:rPr>
          <w:rFonts w:hint="eastAsia"/>
        </w:rPr>
        <w:t>cm土层的最低温度不低于12</w:t>
      </w:r>
      <w:r>
        <w:rPr>
          <w:rFonts w:ascii="Times New Roman"/>
        </w:rPr>
        <w:t xml:space="preserve"> </w:t>
      </w:r>
      <w:r>
        <w:rPr>
          <w:rFonts w:hint="eastAsia"/>
        </w:rPr>
        <w:t>℃；光照时数不少于6</w:t>
      </w:r>
      <w:r>
        <w:rPr>
          <w:rFonts w:ascii="Times New Roman"/>
        </w:rPr>
        <w:t xml:space="preserve"> </w:t>
      </w:r>
      <w:r>
        <w:rPr>
          <w:rFonts w:hint="eastAsia"/>
        </w:rPr>
        <w:t>h；植株顶部水平光照强度不低于5</w:t>
      </w:r>
      <w:r>
        <w:rPr>
          <w:rFonts w:ascii="Times New Roman"/>
        </w:rPr>
        <w:t xml:space="preserve"> </w:t>
      </w:r>
      <w:r>
        <w:rPr>
          <w:rFonts w:hint="eastAsia"/>
        </w:rPr>
        <w:t>000</w:t>
      </w:r>
      <w:r>
        <w:rPr>
          <w:rFonts w:ascii="Times New Roman"/>
        </w:rPr>
        <w:t xml:space="preserve"> </w:t>
      </w:r>
      <w:r>
        <w:rPr>
          <w:rFonts w:hint="eastAsia"/>
        </w:rPr>
        <w:t>lx，室内光照分布均匀。</w:t>
      </w:r>
    </w:p>
    <w:p>
      <w:pPr>
        <w:pStyle w:val="104"/>
        <w:spacing w:before="312" w:after="312"/>
      </w:pPr>
      <w:bookmarkStart w:id="77" w:name="_Toc163062070"/>
      <w:bookmarkStart w:id="78" w:name="_Toc162440337"/>
      <w:bookmarkStart w:id="79" w:name="_Toc163061979"/>
      <w:bookmarkStart w:id="80" w:name="_Toc163062013"/>
      <w:bookmarkStart w:id="81" w:name="_Toc164455679"/>
      <w:bookmarkStart w:id="82" w:name="_Toc162972210"/>
      <w:r>
        <w:rPr>
          <w:rFonts w:hint="eastAsia"/>
        </w:rPr>
        <w:t>茬口安排</w:t>
      </w:r>
      <w:bookmarkEnd w:id="77"/>
      <w:bookmarkEnd w:id="78"/>
      <w:bookmarkEnd w:id="79"/>
      <w:bookmarkEnd w:id="80"/>
      <w:bookmarkEnd w:id="81"/>
      <w:bookmarkEnd w:id="82"/>
    </w:p>
    <w:p>
      <w:pPr>
        <w:pStyle w:val="56"/>
        <w:ind w:firstLine="420"/>
      </w:pPr>
      <w:r>
        <w:rPr>
          <w:rFonts w:hint="eastAsia"/>
        </w:rPr>
        <w:t>根据市场需求确定茬口，夏季每20</w:t>
      </w:r>
      <w:r>
        <w:rPr>
          <w:rFonts w:ascii="Times New Roman"/>
        </w:rPr>
        <w:t xml:space="preserve"> </w:t>
      </w:r>
      <w:r>
        <w:rPr>
          <w:rFonts w:hint="eastAsia"/>
        </w:rPr>
        <w:t>d～25</w:t>
      </w:r>
      <w:r>
        <w:rPr>
          <w:rFonts w:ascii="Times New Roman"/>
        </w:rPr>
        <w:t xml:space="preserve"> </w:t>
      </w:r>
      <w:r>
        <w:rPr>
          <w:rFonts w:hint="eastAsia"/>
        </w:rPr>
        <w:t>d一茬，冬季每30</w:t>
      </w:r>
      <w:r>
        <w:rPr>
          <w:rFonts w:ascii="Times New Roman"/>
        </w:rPr>
        <w:t xml:space="preserve"> </w:t>
      </w:r>
      <w:r>
        <w:rPr>
          <w:rFonts w:hint="eastAsia"/>
        </w:rPr>
        <w:t>d～40</w:t>
      </w:r>
      <w:r>
        <w:rPr>
          <w:rFonts w:ascii="Times New Roman"/>
        </w:rPr>
        <w:t xml:space="preserve"> </w:t>
      </w:r>
      <w:r>
        <w:rPr>
          <w:rFonts w:hint="eastAsia"/>
        </w:rPr>
        <w:t>d一茬。</w:t>
      </w:r>
    </w:p>
    <w:p>
      <w:pPr>
        <w:pStyle w:val="104"/>
        <w:spacing w:before="312" w:after="312"/>
      </w:pPr>
      <w:bookmarkStart w:id="83" w:name="_Toc162440338"/>
      <w:bookmarkStart w:id="84" w:name="_Toc162972211"/>
      <w:bookmarkStart w:id="85" w:name="_Toc164455680"/>
      <w:bookmarkStart w:id="86" w:name="_Toc163062071"/>
      <w:bookmarkStart w:id="87" w:name="_Toc163062014"/>
      <w:bookmarkStart w:id="88" w:name="_Toc163061980"/>
      <w:r>
        <w:rPr>
          <w:rFonts w:hint="eastAsia"/>
        </w:rPr>
        <w:t>种苗</w:t>
      </w:r>
      <w:bookmarkEnd w:id="83"/>
      <w:bookmarkEnd w:id="84"/>
      <w:bookmarkEnd w:id="85"/>
      <w:bookmarkEnd w:id="86"/>
      <w:bookmarkEnd w:id="87"/>
      <w:bookmarkEnd w:id="88"/>
    </w:p>
    <w:p>
      <w:pPr>
        <w:pStyle w:val="105"/>
        <w:spacing w:before="156" w:after="156"/>
      </w:pPr>
      <w:r>
        <w:rPr>
          <w:rFonts w:hint="eastAsia"/>
        </w:rPr>
        <w:t>品种选择</w:t>
      </w:r>
    </w:p>
    <w:p>
      <w:pPr>
        <w:pStyle w:val="56"/>
        <w:ind w:firstLine="420"/>
      </w:pPr>
      <w:r>
        <w:rPr>
          <w:rFonts w:hint="eastAsia"/>
        </w:rPr>
        <w:t>选择抗病、抗逆、优质、丰产、商品性好、对CO</w:t>
      </w:r>
      <w:r>
        <w:rPr>
          <w:rFonts w:hint="eastAsia"/>
          <w:vertAlign w:val="subscript"/>
        </w:rPr>
        <w:t>2</w:t>
      </w:r>
      <w:r>
        <w:rPr>
          <w:rFonts w:hint="eastAsia"/>
        </w:rPr>
        <w:t>敏感和固碳能力强的品种。种子质量符合GB</w:t>
      </w:r>
      <w:r>
        <w:rPr>
          <w:rFonts w:ascii="Times New Roman"/>
        </w:rPr>
        <w:t xml:space="preserve"> </w:t>
      </w:r>
      <w:r>
        <w:rPr>
          <w:rFonts w:hint="eastAsia"/>
        </w:rPr>
        <w:t>16715.5要求。</w:t>
      </w:r>
    </w:p>
    <w:p>
      <w:pPr>
        <w:pStyle w:val="105"/>
        <w:spacing w:before="156" w:after="156"/>
      </w:pPr>
      <w:r>
        <w:rPr>
          <w:rFonts w:hint="eastAsia"/>
        </w:rPr>
        <w:t>穴盘育苗</w:t>
      </w:r>
    </w:p>
    <w:p>
      <w:pPr>
        <w:pStyle w:val="56"/>
        <w:ind w:firstLine="420"/>
      </w:pPr>
      <w:r>
        <w:rPr>
          <w:rFonts w:hint="eastAsia"/>
        </w:rPr>
        <w:t>采用规格为108孔或128孔穴盘育苗。育苗技术执行NY/T</w:t>
      </w:r>
      <w:r>
        <w:rPr>
          <w:rFonts w:ascii="Times New Roman"/>
        </w:rPr>
        <w:t xml:space="preserve"> </w:t>
      </w:r>
      <w:r>
        <w:rPr>
          <w:rFonts w:hint="eastAsia"/>
        </w:rPr>
        <w:t>2119规定。</w:t>
      </w:r>
    </w:p>
    <w:p>
      <w:pPr>
        <w:pStyle w:val="105"/>
        <w:spacing w:before="156" w:after="156"/>
      </w:pPr>
      <w:r>
        <w:rPr>
          <w:rFonts w:hint="eastAsia"/>
        </w:rPr>
        <w:t>壮苗标准</w:t>
      </w:r>
    </w:p>
    <w:p>
      <w:pPr>
        <w:pStyle w:val="56"/>
        <w:ind w:firstLine="420"/>
      </w:pPr>
      <w:r>
        <w:rPr>
          <w:rFonts w:hint="eastAsia"/>
        </w:rPr>
        <w:t>3～4片真叶，叶色深绿，叶片肥厚，根系发达洁白，无病虫害，无机械损伤。</w:t>
      </w:r>
    </w:p>
    <w:p>
      <w:pPr>
        <w:pStyle w:val="104"/>
        <w:spacing w:before="312" w:after="312"/>
      </w:pPr>
      <w:bookmarkStart w:id="89" w:name="_Toc162972212"/>
      <w:bookmarkStart w:id="90" w:name="_Toc162440339"/>
      <w:bookmarkStart w:id="91" w:name="_Toc163062015"/>
      <w:bookmarkStart w:id="92" w:name="_Toc163061981"/>
      <w:bookmarkStart w:id="93" w:name="_Toc163062072"/>
      <w:bookmarkStart w:id="94" w:name="_Toc164455681"/>
      <w:r>
        <w:rPr>
          <w:rFonts w:hint="eastAsia"/>
        </w:rPr>
        <w:t>整地施肥</w:t>
      </w:r>
      <w:bookmarkEnd w:id="89"/>
      <w:bookmarkEnd w:id="90"/>
      <w:bookmarkEnd w:id="91"/>
      <w:bookmarkEnd w:id="92"/>
      <w:bookmarkEnd w:id="93"/>
      <w:bookmarkEnd w:id="94"/>
    </w:p>
    <w:p>
      <w:pPr>
        <w:pStyle w:val="105"/>
        <w:spacing w:before="156" w:after="156"/>
      </w:pPr>
      <w:r>
        <w:rPr>
          <w:rFonts w:hint="eastAsia"/>
        </w:rPr>
        <w:t>施肥</w:t>
      </w:r>
    </w:p>
    <w:p>
      <w:pPr>
        <w:pStyle w:val="56"/>
        <w:ind w:firstLine="420"/>
      </w:pPr>
      <w:r>
        <w:rPr>
          <w:rFonts w:hint="eastAsia"/>
        </w:rPr>
        <w:t>每667</w:t>
      </w:r>
      <w:r>
        <w:rPr>
          <w:rFonts w:ascii="Times New Roman"/>
        </w:rPr>
        <w:t xml:space="preserve"> </w:t>
      </w:r>
      <w:r>
        <w:rPr>
          <w:rFonts w:hint="eastAsia"/>
        </w:rPr>
        <w:t>m</w:t>
      </w:r>
      <w:r>
        <w:rPr>
          <w:rFonts w:hint="eastAsia"/>
          <w:vertAlign w:val="superscript"/>
        </w:rPr>
        <w:t>2</w:t>
      </w:r>
      <w:r>
        <w:rPr>
          <w:rFonts w:hint="eastAsia"/>
        </w:rPr>
        <w:t>施腐熟有机肥3</w:t>
      </w:r>
      <w:r>
        <w:rPr>
          <w:rFonts w:ascii="Times New Roman"/>
        </w:rPr>
        <w:t xml:space="preserve"> </w:t>
      </w:r>
      <w:r>
        <w:rPr>
          <w:rFonts w:hint="eastAsia"/>
        </w:rPr>
        <w:t>000</w:t>
      </w:r>
      <w:r>
        <w:rPr>
          <w:rFonts w:ascii="Times New Roman"/>
        </w:rPr>
        <w:t xml:space="preserve"> </w:t>
      </w:r>
      <w:r>
        <w:rPr>
          <w:rFonts w:hint="eastAsia"/>
        </w:rPr>
        <w:t>kg～4</w:t>
      </w:r>
      <w:r>
        <w:rPr>
          <w:rFonts w:ascii="Times New Roman"/>
        </w:rPr>
        <w:t xml:space="preserve"> </w:t>
      </w:r>
      <w:r>
        <w:rPr>
          <w:rFonts w:hint="eastAsia"/>
        </w:rPr>
        <w:t>500</w:t>
      </w:r>
      <w:r>
        <w:rPr>
          <w:rFonts w:ascii="Times New Roman"/>
        </w:rPr>
        <w:t xml:space="preserve"> </w:t>
      </w:r>
      <w:r>
        <w:rPr>
          <w:rFonts w:hint="eastAsia"/>
        </w:rPr>
        <w:t>kg和配方肥50</w:t>
      </w:r>
      <w:r>
        <w:rPr>
          <w:rFonts w:ascii="Times New Roman"/>
        </w:rPr>
        <w:t xml:space="preserve"> </w:t>
      </w:r>
      <w:r>
        <w:rPr>
          <w:rFonts w:hint="eastAsia"/>
        </w:rPr>
        <w:t>kg～80</w:t>
      </w:r>
      <w:r>
        <w:rPr>
          <w:rFonts w:ascii="Times New Roman"/>
        </w:rPr>
        <w:t xml:space="preserve"> </w:t>
      </w:r>
      <w:r>
        <w:rPr>
          <w:rFonts w:hint="eastAsia"/>
        </w:rPr>
        <w:t>kg，均匀撒施土壤表面。</w:t>
      </w:r>
    </w:p>
    <w:p>
      <w:pPr>
        <w:pStyle w:val="105"/>
        <w:spacing w:before="156" w:after="156"/>
      </w:pPr>
      <w:r>
        <w:rPr>
          <w:rFonts w:hint="eastAsia"/>
        </w:rPr>
        <w:t>作畦</w:t>
      </w:r>
    </w:p>
    <w:p>
      <w:pPr>
        <w:pStyle w:val="230"/>
        <w:ind w:firstLine="420" w:firstLineChars="200"/>
        <w:rPr>
          <w:rFonts w:ascii="宋体" w:hAnsi="宋体" w:cs="宋体"/>
        </w:rPr>
      </w:pPr>
      <w:r>
        <w:rPr>
          <w:rFonts w:hint="eastAsia"/>
        </w:rPr>
        <w:t>利用旋耕机深翻土壤</w:t>
      </w:r>
      <w:r>
        <w:rPr>
          <w:rFonts w:hint="eastAsia" w:ascii="宋体" w:hAnsi="宋体" w:cs="宋体"/>
        </w:rPr>
        <w:t>25</w:t>
      </w:r>
      <w:r>
        <w:rPr>
          <w:rFonts w:ascii="Times New Roman" w:hAnsi="Times New Roman" w:cs="Times New Roman"/>
        </w:rPr>
        <w:t xml:space="preserve"> </w:t>
      </w:r>
      <w:r>
        <w:rPr>
          <w:rFonts w:hint="eastAsia" w:ascii="宋体" w:hAnsi="宋体" w:cs="宋体"/>
        </w:rPr>
        <w:t>cm～30</w:t>
      </w:r>
      <w:r>
        <w:rPr>
          <w:rFonts w:ascii="Times New Roman" w:hAnsi="Times New Roman" w:cs="Times New Roman"/>
        </w:rPr>
        <w:t xml:space="preserve"> </w:t>
      </w:r>
      <w:r>
        <w:rPr>
          <w:rFonts w:hint="eastAsia" w:ascii="宋体" w:hAnsi="宋体" w:cs="宋体"/>
        </w:rPr>
        <w:t>cm，耙细</w:t>
      </w:r>
      <w:r>
        <w:rPr>
          <w:rFonts w:hint="eastAsia" w:ascii="宋体" w:hAnsi="宋体"/>
        </w:rPr>
        <w:t>后作成平</w:t>
      </w:r>
      <w:bookmarkStart w:id="95" w:name="_Hlk163032652"/>
      <w:r>
        <w:rPr>
          <w:rFonts w:hint="eastAsia" w:ascii="宋体" w:hAnsi="宋体"/>
        </w:rPr>
        <w:t>畦</w:t>
      </w:r>
      <w:bookmarkEnd w:id="95"/>
      <w:r>
        <w:rPr>
          <w:rFonts w:hint="eastAsia" w:ascii="宋体" w:hAnsi="宋体"/>
        </w:rPr>
        <w:t>，畦面平整；</w:t>
      </w:r>
      <w:r>
        <w:rPr>
          <w:rFonts w:hint="eastAsia" w:ascii="宋体" w:hAnsi="宋体" w:cs="宋体"/>
        </w:rPr>
        <w:t>铺设滴灌带，覆盖地膜，滴灌设备符合GB/T</w:t>
      </w:r>
      <w:r>
        <w:rPr>
          <w:rFonts w:ascii="Times New Roman" w:hAnsi="Times New Roman" w:cs="Times New Roman"/>
        </w:rPr>
        <w:t xml:space="preserve"> </w:t>
      </w:r>
      <w:r>
        <w:rPr>
          <w:rFonts w:hint="eastAsia" w:ascii="宋体" w:hAnsi="宋体" w:cs="宋体"/>
        </w:rPr>
        <w:t>17187要求。</w:t>
      </w:r>
    </w:p>
    <w:p>
      <w:pPr>
        <w:pStyle w:val="104"/>
        <w:spacing w:before="312" w:after="312"/>
      </w:pPr>
      <w:bookmarkStart w:id="96" w:name="_Toc163061982"/>
      <w:bookmarkStart w:id="97" w:name="_Toc163062016"/>
      <w:bookmarkStart w:id="98" w:name="_Toc164455682"/>
      <w:bookmarkStart w:id="99" w:name="_Toc163062073"/>
      <w:r>
        <w:rPr>
          <w:rFonts w:hint="eastAsia"/>
        </w:rPr>
        <w:t>定植</w:t>
      </w:r>
      <w:bookmarkEnd w:id="96"/>
      <w:bookmarkEnd w:id="97"/>
      <w:bookmarkEnd w:id="98"/>
      <w:bookmarkEnd w:id="99"/>
    </w:p>
    <w:p>
      <w:pPr>
        <w:pStyle w:val="105"/>
        <w:spacing w:before="156" w:after="156"/>
      </w:pPr>
      <w:r>
        <w:rPr>
          <w:rFonts w:hint="eastAsia"/>
        </w:rPr>
        <w:t>定植时间</w:t>
      </w:r>
    </w:p>
    <w:p>
      <w:pPr>
        <w:pStyle w:val="56"/>
        <w:ind w:firstLine="420"/>
      </w:pPr>
      <w:r>
        <w:rPr>
          <w:rFonts w:hint="eastAsia"/>
        </w:rPr>
        <w:t>采用周年化栽培，根据市场需求安排定植时间，每年</w:t>
      </w:r>
      <w:r>
        <w:rPr>
          <w:rFonts w:hint="eastAsia" w:hAnsi="宋体" w:cs="宋体"/>
        </w:rPr>
        <w:t>8～10茬</w:t>
      </w:r>
      <w:r>
        <w:rPr>
          <w:rFonts w:hint="eastAsia"/>
        </w:rPr>
        <w:t>。</w:t>
      </w:r>
    </w:p>
    <w:p>
      <w:pPr>
        <w:pStyle w:val="105"/>
        <w:spacing w:before="156" w:after="156"/>
      </w:pPr>
      <w:r>
        <w:rPr>
          <w:rFonts w:hint="eastAsia"/>
        </w:rPr>
        <w:t>定植方法</w:t>
      </w:r>
    </w:p>
    <w:p>
      <w:pPr>
        <w:pStyle w:val="56"/>
        <w:ind w:firstLine="420"/>
      </w:pPr>
      <w:r>
        <w:rPr>
          <w:rFonts w:hint="eastAsia"/>
        </w:rPr>
        <w:t>单株定植，基质表面与畦面相平，及时浇灌定植水。</w:t>
      </w:r>
    </w:p>
    <w:p>
      <w:pPr>
        <w:pStyle w:val="105"/>
        <w:spacing w:before="156" w:after="156"/>
      </w:pPr>
      <w:r>
        <w:rPr>
          <w:rFonts w:hint="eastAsia"/>
        </w:rPr>
        <w:t>定植密度</w:t>
      </w:r>
    </w:p>
    <w:p>
      <w:pPr>
        <w:pStyle w:val="56"/>
        <w:ind w:firstLine="420"/>
      </w:pPr>
      <w:r>
        <w:rPr>
          <w:rFonts w:hint="eastAsia"/>
        </w:rPr>
        <w:t>散叶生菜按行距30</w:t>
      </w:r>
      <w:r>
        <w:rPr>
          <w:rFonts w:ascii="Times New Roman"/>
        </w:rPr>
        <w:t xml:space="preserve"> </w:t>
      </w:r>
      <w:r>
        <w:rPr>
          <w:rFonts w:hint="eastAsia"/>
        </w:rPr>
        <w:t>cm～35</w:t>
      </w:r>
      <w:r>
        <w:rPr>
          <w:rFonts w:ascii="Times New Roman"/>
        </w:rPr>
        <w:t xml:space="preserve"> </w:t>
      </w:r>
      <w:r>
        <w:rPr>
          <w:rFonts w:hint="eastAsia"/>
        </w:rPr>
        <w:t>cm，株距25</w:t>
      </w:r>
      <w:r>
        <w:rPr>
          <w:rFonts w:ascii="Times New Roman"/>
        </w:rPr>
        <w:t xml:space="preserve"> </w:t>
      </w:r>
      <w:r>
        <w:rPr>
          <w:rFonts w:hint="eastAsia"/>
        </w:rPr>
        <w:t>cm～30</w:t>
      </w:r>
      <w:r>
        <w:rPr>
          <w:rFonts w:ascii="Times New Roman"/>
        </w:rPr>
        <w:t xml:space="preserve"> </w:t>
      </w:r>
      <w:r>
        <w:rPr>
          <w:rFonts w:hint="eastAsia"/>
        </w:rPr>
        <w:t>cm定植，每667</w:t>
      </w:r>
      <w:r>
        <w:rPr>
          <w:rFonts w:ascii="Times New Roman"/>
        </w:rPr>
        <w:t xml:space="preserve"> </w:t>
      </w:r>
      <w:r>
        <w:rPr>
          <w:rFonts w:hint="eastAsia"/>
        </w:rPr>
        <w:t>m</w:t>
      </w:r>
      <w:r>
        <w:rPr>
          <w:rFonts w:hint="eastAsia"/>
          <w:vertAlign w:val="superscript"/>
        </w:rPr>
        <w:t>2</w:t>
      </w:r>
      <w:r>
        <w:rPr>
          <w:rFonts w:hint="eastAsia"/>
        </w:rPr>
        <w:t>定植6</w:t>
      </w:r>
      <w:r>
        <w:rPr>
          <w:rFonts w:ascii="Times New Roman"/>
        </w:rPr>
        <w:t xml:space="preserve"> </w:t>
      </w:r>
      <w:r>
        <w:rPr>
          <w:rFonts w:hint="eastAsia"/>
        </w:rPr>
        <w:t>500～7</w:t>
      </w:r>
      <w:r>
        <w:rPr>
          <w:rFonts w:ascii="Times New Roman"/>
        </w:rPr>
        <w:t xml:space="preserve"> </w:t>
      </w:r>
      <w:r>
        <w:rPr>
          <w:rFonts w:hint="eastAsia"/>
        </w:rPr>
        <w:t>500株；结球生菜按行距30</w:t>
      </w:r>
      <w:r>
        <w:rPr>
          <w:rFonts w:ascii="Times New Roman"/>
        </w:rPr>
        <w:t xml:space="preserve"> </w:t>
      </w:r>
      <w:r>
        <w:rPr>
          <w:rFonts w:hint="eastAsia"/>
        </w:rPr>
        <w:t>cm～35</w:t>
      </w:r>
      <w:r>
        <w:rPr>
          <w:rFonts w:ascii="Times New Roman"/>
        </w:rPr>
        <w:t xml:space="preserve"> </w:t>
      </w:r>
      <w:r>
        <w:rPr>
          <w:rFonts w:hint="eastAsia"/>
        </w:rPr>
        <w:t>cm，株距30</w:t>
      </w:r>
      <w:r>
        <w:rPr>
          <w:rFonts w:ascii="Times New Roman"/>
        </w:rPr>
        <w:t xml:space="preserve"> </w:t>
      </w:r>
      <w:r>
        <w:rPr>
          <w:rFonts w:hint="eastAsia"/>
        </w:rPr>
        <w:t>cm～35</w:t>
      </w:r>
      <w:r>
        <w:rPr>
          <w:rFonts w:ascii="Times New Roman"/>
        </w:rPr>
        <w:t xml:space="preserve"> </w:t>
      </w:r>
      <w:r>
        <w:rPr>
          <w:rFonts w:hint="eastAsia"/>
        </w:rPr>
        <w:t>cm定植，每667</w:t>
      </w:r>
      <w:r>
        <w:rPr>
          <w:rFonts w:ascii="Times New Roman"/>
        </w:rPr>
        <w:t xml:space="preserve"> </w:t>
      </w:r>
      <w:r>
        <w:rPr>
          <w:rFonts w:hint="eastAsia"/>
        </w:rPr>
        <w:t>m</w:t>
      </w:r>
      <w:r>
        <w:rPr>
          <w:rFonts w:hint="eastAsia"/>
          <w:vertAlign w:val="superscript"/>
        </w:rPr>
        <w:t>2</w:t>
      </w:r>
      <w:r>
        <w:rPr>
          <w:rFonts w:hint="eastAsia"/>
        </w:rPr>
        <w:t>定植5</w:t>
      </w:r>
      <w:r>
        <w:rPr>
          <w:rFonts w:ascii="Times New Roman"/>
        </w:rPr>
        <w:t xml:space="preserve"> </w:t>
      </w:r>
      <w:r>
        <w:rPr>
          <w:rFonts w:hint="eastAsia"/>
        </w:rPr>
        <w:t>500～6</w:t>
      </w:r>
      <w:r>
        <w:rPr>
          <w:rFonts w:ascii="Times New Roman"/>
        </w:rPr>
        <w:t xml:space="preserve"> </w:t>
      </w:r>
      <w:r>
        <w:rPr>
          <w:rFonts w:hint="eastAsia"/>
        </w:rPr>
        <w:t>500株。</w:t>
      </w:r>
    </w:p>
    <w:p>
      <w:pPr>
        <w:pStyle w:val="104"/>
        <w:spacing w:before="312" w:after="312"/>
      </w:pPr>
      <w:bookmarkStart w:id="100" w:name="_Toc162972214"/>
      <w:bookmarkStart w:id="101" w:name="_Toc163061983"/>
      <w:bookmarkStart w:id="102" w:name="_Toc164455683"/>
      <w:bookmarkStart w:id="103" w:name="_Toc162440341"/>
      <w:bookmarkStart w:id="104" w:name="_Toc163062074"/>
      <w:bookmarkStart w:id="105" w:name="_Toc163062017"/>
      <w:r>
        <w:rPr>
          <w:rFonts w:hint="eastAsia"/>
        </w:rPr>
        <w:t>田间管理</w:t>
      </w:r>
      <w:bookmarkEnd w:id="100"/>
      <w:bookmarkEnd w:id="101"/>
      <w:bookmarkEnd w:id="102"/>
      <w:bookmarkEnd w:id="103"/>
      <w:bookmarkEnd w:id="104"/>
      <w:bookmarkEnd w:id="105"/>
    </w:p>
    <w:p>
      <w:pPr>
        <w:pStyle w:val="105"/>
        <w:spacing w:before="156" w:after="156"/>
      </w:pPr>
      <w:r>
        <w:rPr>
          <w:rFonts w:hint="eastAsia"/>
        </w:rPr>
        <w:t>温度管理</w:t>
      </w:r>
    </w:p>
    <w:p>
      <w:pPr>
        <w:pStyle w:val="56"/>
        <w:ind w:firstLine="420"/>
      </w:pPr>
      <w:r>
        <w:rPr>
          <w:rFonts w:hint="eastAsia"/>
        </w:rPr>
        <w:t>缓苗期室内白天温度22</w:t>
      </w:r>
      <w:r>
        <w:rPr>
          <w:rFonts w:ascii="Times New Roman"/>
        </w:rPr>
        <w:t xml:space="preserve"> </w:t>
      </w:r>
      <w:r>
        <w:rPr>
          <w:rFonts w:hint="eastAsia"/>
        </w:rPr>
        <w:t>℃～25</w:t>
      </w:r>
      <w:r>
        <w:rPr>
          <w:rFonts w:ascii="Times New Roman"/>
        </w:rPr>
        <w:t xml:space="preserve"> </w:t>
      </w:r>
      <w:r>
        <w:rPr>
          <w:rFonts w:hint="eastAsia"/>
        </w:rPr>
        <w:t>℃，夜间温度15</w:t>
      </w:r>
      <w:r>
        <w:rPr>
          <w:rFonts w:ascii="Times New Roman"/>
        </w:rPr>
        <w:t xml:space="preserve"> </w:t>
      </w:r>
      <w:r>
        <w:rPr>
          <w:rFonts w:hint="eastAsia"/>
        </w:rPr>
        <w:t>℃～18</w:t>
      </w:r>
      <w:r>
        <w:rPr>
          <w:rFonts w:ascii="Times New Roman"/>
        </w:rPr>
        <w:t xml:space="preserve"> </w:t>
      </w:r>
      <w:r>
        <w:rPr>
          <w:rFonts w:hint="eastAsia"/>
        </w:rPr>
        <w:t>℃；缓苗后白天温度20</w:t>
      </w:r>
      <w:r>
        <w:rPr>
          <w:rFonts w:ascii="Times New Roman"/>
        </w:rPr>
        <w:t xml:space="preserve"> </w:t>
      </w:r>
      <w:r>
        <w:rPr>
          <w:rFonts w:hint="eastAsia"/>
        </w:rPr>
        <w:t>℃～22</w:t>
      </w:r>
      <w:r>
        <w:rPr>
          <w:rFonts w:ascii="Times New Roman"/>
        </w:rPr>
        <w:t xml:space="preserve"> </w:t>
      </w:r>
      <w:r>
        <w:rPr>
          <w:rFonts w:hint="eastAsia"/>
        </w:rPr>
        <w:t>℃，夜间12</w:t>
      </w:r>
      <w:r>
        <w:rPr>
          <w:rFonts w:ascii="Times New Roman"/>
        </w:rPr>
        <w:t xml:space="preserve"> </w:t>
      </w:r>
      <w:r>
        <w:rPr>
          <w:rFonts w:hint="eastAsia"/>
        </w:rPr>
        <w:t>℃～15</w:t>
      </w:r>
      <w:r>
        <w:rPr>
          <w:rFonts w:ascii="Times New Roman"/>
        </w:rPr>
        <w:t xml:space="preserve"> </w:t>
      </w:r>
      <w:r>
        <w:rPr>
          <w:rFonts w:hint="eastAsia"/>
        </w:rPr>
        <w:t>℃；超过28</w:t>
      </w:r>
      <w:r>
        <w:rPr>
          <w:rFonts w:ascii="Times New Roman"/>
        </w:rPr>
        <w:t xml:space="preserve"> </w:t>
      </w:r>
      <w:r>
        <w:rPr>
          <w:rFonts w:hint="eastAsia"/>
        </w:rPr>
        <w:t>℃且CO</w:t>
      </w:r>
      <w:r>
        <w:rPr>
          <w:rFonts w:hint="eastAsia"/>
          <w:vertAlign w:val="subscript"/>
        </w:rPr>
        <w:t>2</w:t>
      </w:r>
      <w:r>
        <w:rPr>
          <w:rFonts w:hint="eastAsia"/>
        </w:rPr>
        <w:t>浓度低于大气浓度时通风调节。</w:t>
      </w:r>
    </w:p>
    <w:p>
      <w:pPr>
        <w:pStyle w:val="105"/>
        <w:spacing w:before="156" w:after="156"/>
      </w:pPr>
      <w:r>
        <w:rPr>
          <w:rFonts w:hint="eastAsia"/>
        </w:rPr>
        <w:t>光照管理</w:t>
      </w:r>
    </w:p>
    <w:p>
      <w:pPr>
        <w:pStyle w:val="56"/>
        <w:ind w:firstLine="420"/>
      </w:pPr>
      <w:r>
        <w:rPr>
          <w:rFonts w:hint="eastAsia"/>
        </w:rPr>
        <w:t>保持棚膜清洁，增加光照强度和时间。在阴、雨、雪天气下，可进行人工补光。</w:t>
      </w:r>
      <w:r>
        <w:rPr>
          <w:rFonts w:ascii="Times New Roman"/>
        </w:rPr>
        <w:t xml:space="preserve"> </w:t>
      </w:r>
    </w:p>
    <w:p>
      <w:pPr>
        <w:pStyle w:val="105"/>
        <w:spacing w:before="156" w:after="156"/>
      </w:pPr>
      <w:r>
        <w:rPr>
          <w:rFonts w:hint="eastAsia"/>
        </w:rPr>
        <w:t>湿度管理</w:t>
      </w:r>
    </w:p>
    <w:p>
      <w:pPr>
        <w:pStyle w:val="56"/>
        <w:ind w:firstLine="420"/>
      </w:pPr>
      <w:r>
        <w:rPr>
          <w:rFonts w:hint="eastAsia"/>
        </w:rPr>
        <w:t>缓苗期空气相对湿度控制在80%～90%，缓苗后空气相对湿度控制在60%～70%。</w:t>
      </w:r>
    </w:p>
    <w:p>
      <w:pPr>
        <w:pStyle w:val="105"/>
        <w:spacing w:before="156" w:after="156"/>
      </w:pPr>
      <w:r>
        <w:rPr>
          <w:rFonts w:hint="eastAsia"/>
        </w:rPr>
        <w:t>水肥管理</w:t>
      </w:r>
    </w:p>
    <w:p>
      <w:pPr>
        <w:pStyle w:val="56"/>
        <w:ind w:firstLine="420"/>
      </w:pPr>
      <w:r>
        <w:rPr>
          <w:rFonts w:hint="eastAsia"/>
        </w:rPr>
        <w:t>定植后5</w:t>
      </w:r>
      <w:r>
        <w:rPr>
          <w:rFonts w:ascii="Times New Roman"/>
        </w:rPr>
        <w:t xml:space="preserve"> </w:t>
      </w:r>
      <w:r>
        <w:rPr>
          <w:rFonts w:hint="eastAsia"/>
        </w:rPr>
        <w:t>d～7</w:t>
      </w:r>
      <w:r>
        <w:rPr>
          <w:rFonts w:ascii="Times New Roman"/>
        </w:rPr>
        <w:t xml:space="preserve"> </w:t>
      </w:r>
      <w:r>
        <w:rPr>
          <w:rFonts w:hint="eastAsia"/>
        </w:rPr>
        <w:t>d，随水追肥一次，每667</w:t>
      </w:r>
      <w:r>
        <w:rPr>
          <w:rFonts w:ascii="Times New Roman"/>
        </w:rPr>
        <w:t xml:space="preserve"> </w:t>
      </w:r>
      <w:r>
        <w:rPr>
          <w:rFonts w:hint="eastAsia"/>
        </w:rPr>
        <w:t>m</w:t>
      </w:r>
      <w:r>
        <w:rPr>
          <w:rFonts w:hint="eastAsia"/>
          <w:vertAlign w:val="superscript"/>
        </w:rPr>
        <w:t>2</w:t>
      </w:r>
      <w:r>
        <w:rPr>
          <w:rFonts w:hint="eastAsia"/>
        </w:rPr>
        <w:t>施尿素10</w:t>
      </w:r>
      <w:r>
        <w:rPr>
          <w:rFonts w:ascii="Times New Roman"/>
        </w:rPr>
        <w:t xml:space="preserve"> </w:t>
      </w:r>
      <w:r>
        <w:rPr>
          <w:rFonts w:hint="eastAsia"/>
        </w:rPr>
        <w:t>kg；定植后15</w:t>
      </w:r>
      <w:r>
        <w:rPr>
          <w:rFonts w:ascii="Times New Roman"/>
        </w:rPr>
        <w:t xml:space="preserve"> </w:t>
      </w:r>
      <w:r>
        <w:rPr>
          <w:rFonts w:hint="eastAsia"/>
        </w:rPr>
        <w:t>d～20</w:t>
      </w:r>
      <w:r>
        <w:rPr>
          <w:rFonts w:ascii="Times New Roman"/>
        </w:rPr>
        <w:t xml:space="preserve"> </w:t>
      </w:r>
      <w:r>
        <w:rPr>
          <w:rFonts w:hint="eastAsia"/>
        </w:rPr>
        <w:t>d，随水追肥一次，每667</w:t>
      </w:r>
      <w:r>
        <w:rPr>
          <w:rFonts w:ascii="Times New Roman"/>
        </w:rPr>
        <w:t xml:space="preserve"> </w:t>
      </w:r>
      <w:r>
        <w:rPr>
          <w:rFonts w:hint="eastAsia"/>
        </w:rPr>
        <w:t>m</w:t>
      </w:r>
      <w:r>
        <w:rPr>
          <w:rFonts w:hint="eastAsia"/>
          <w:vertAlign w:val="superscript"/>
        </w:rPr>
        <w:t>2</w:t>
      </w:r>
      <w:r>
        <w:rPr>
          <w:rFonts w:hint="eastAsia"/>
        </w:rPr>
        <w:t>施氮磷钾复合肥15</w:t>
      </w:r>
      <w:r>
        <w:rPr>
          <w:rFonts w:ascii="Times New Roman"/>
        </w:rPr>
        <w:t xml:space="preserve"> </w:t>
      </w:r>
      <w:r>
        <w:rPr>
          <w:rFonts w:hint="eastAsia"/>
        </w:rPr>
        <w:t>kg～20</w:t>
      </w:r>
      <w:r>
        <w:rPr>
          <w:rFonts w:ascii="Times New Roman"/>
        </w:rPr>
        <w:t xml:space="preserve"> </w:t>
      </w:r>
      <w:r>
        <w:rPr>
          <w:rFonts w:hint="eastAsia"/>
        </w:rPr>
        <w:t>kg。采收前7</w:t>
      </w:r>
      <w:r>
        <w:rPr>
          <w:rFonts w:ascii="Times New Roman"/>
        </w:rPr>
        <w:t xml:space="preserve"> </w:t>
      </w:r>
      <w:r>
        <w:rPr>
          <w:rFonts w:hint="eastAsia"/>
        </w:rPr>
        <w:t>d～10</w:t>
      </w:r>
      <w:r>
        <w:rPr>
          <w:rFonts w:ascii="Times New Roman"/>
        </w:rPr>
        <w:t xml:space="preserve"> </w:t>
      </w:r>
      <w:r>
        <w:rPr>
          <w:rFonts w:hint="eastAsia"/>
        </w:rPr>
        <w:t>d停止浇水施肥。</w:t>
      </w:r>
    </w:p>
    <w:p>
      <w:pPr>
        <w:pStyle w:val="104"/>
        <w:spacing w:before="312" w:after="312"/>
      </w:pPr>
      <w:bookmarkStart w:id="106" w:name="_Toc162440342"/>
      <w:bookmarkStart w:id="107" w:name="_Toc162972215"/>
      <w:bookmarkStart w:id="108" w:name="_Toc163061984"/>
      <w:bookmarkStart w:id="109" w:name="_Toc163062018"/>
      <w:bookmarkStart w:id="110" w:name="_Toc163062075"/>
      <w:bookmarkStart w:id="111" w:name="_Toc164455684"/>
      <w:r>
        <w:rPr>
          <w:rFonts w:hint="eastAsia"/>
        </w:rPr>
        <w:t>二氧化碳施肥</w:t>
      </w:r>
      <w:bookmarkEnd w:id="106"/>
      <w:bookmarkEnd w:id="107"/>
      <w:bookmarkEnd w:id="108"/>
      <w:bookmarkEnd w:id="109"/>
      <w:bookmarkEnd w:id="110"/>
      <w:bookmarkEnd w:id="111"/>
    </w:p>
    <w:p>
      <w:pPr>
        <w:pStyle w:val="105"/>
        <w:spacing w:before="156" w:after="156"/>
      </w:pPr>
      <w:r>
        <w:rPr>
          <w:rFonts w:hint="eastAsia"/>
        </w:rPr>
        <w:t>施肥时间</w:t>
      </w:r>
    </w:p>
    <w:p>
      <w:pPr>
        <w:pStyle w:val="56"/>
        <w:ind w:firstLine="420"/>
      </w:pPr>
      <w:r>
        <w:rPr>
          <w:rFonts w:hint="eastAsia"/>
        </w:rPr>
        <w:t>缓苗后开始施用，当温室内CO</w:t>
      </w:r>
      <w:r>
        <w:rPr>
          <w:rFonts w:hint="eastAsia"/>
          <w:vertAlign w:val="subscript"/>
        </w:rPr>
        <w:t>2</w:t>
      </w:r>
      <w:r>
        <w:rPr>
          <w:rFonts w:hint="eastAsia"/>
        </w:rPr>
        <w:t>浓度低于大气浓度时，生长初期施用1.5</w:t>
      </w:r>
      <w:r>
        <w:rPr>
          <w:rFonts w:ascii="Times New Roman"/>
        </w:rPr>
        <w:t xml:space="preserve"> </w:t>
      </w:r>
      <w:r>
        <w:rPr>
          <w:rFonts w:hint="eastAsia"/>
        </w:rPr>
        <w:t>h，生长盛期施用2</w:t>
      </w:r>
      <w:r>
        <w:rPr>
          <w:rFonts w:ascii="Times New Roman"/>
        </w:rPr>
        <w:t xml:space="preserve"> </w:t>
      </w:r>
      <w:r>
        <w:rPr>
          <w:rFonts w:hint="eastAsia"/>
        </w:rPr>
        <w:t>h；当室内温度达到28</w:t>
      </w:r>
      <w:r>
        <w:rPr>
          <w:rFonts w:ascii="Times New Roman"/>
        </w:rPr>
        <w:t xml:space="preserve"> </w:t>
      </w:r>
      <w:r>
        <w:rPr>
          <w:rFonts w:hint="eastAsia"/>
        </w:rPr>
        <w:t>℃且室内CO</w:t>
      </w:r>
      <w:r>
        <w:rPr>
          <w:rFonts w:hint="eastAsia"/>
          <w:vertAlign w:val="subscript"/>
        </w:rPr>
        <w:t>2</w:t>
      </w:r>
      <w:r>
        <w:rPr>
          <w:rFonts w:hint="eastAsia"/>
        </w:rPr>
        <w:t>浓度低于大气浓度时，根据需要适当打开通风口，温室通风前0.5</w:t>
      </w:r>
      <w:r>
        <w:rPr>
          <w:rFonts w:ascii="Times New Roman"/>
        </w:rPr>
        <w:t xml:space="preserve"> </w:t>
      </w:r>
      <w:r>
        <w:rPr>
          <w:rFonts w:hint="eastAsia"/>
        </w:rPr>
        <w:t>h～1</w:t>
      </w:r>
      <w:r>
        <w:rPr>
          <w:rFonts w:ascii="Times New Roman"/>
        </w:rPr>
        <w:t xml:space="preserve"> </w:t>
      </w:r>
      <w:r>
        <w:rPr>
          <w:rFonts w:hint="eastAsia"/>
        </w:rPr>
        <w:t>h停止施用；晴天提早施用，阴天推迟施用，雨雪天不施用。</w:t>
      </w:r>
    </w:p>
    <w:p>
      <w:pPr>
        <w:pStyle w:val="105"/>
        <w:spacing w:before="156" w:after="156"/>
      </w:pPr>
      <w:r>
        <w:rPr>
          <w:rFonts w:hint="eastAsia"/>
        </w:rPr>
        <w:t>施肥方法</w:t>
      </w:r>
    </w:p>
    <w:p>
      <w:pPr>
        <w:pStyle w:val="56"/>
        <w:ind w:firstLine="420"/>
      </w:pPr>
      <w:r>
        <w:rPr>
          <w:rFonts w:hint="eastAsia"/>
        </w:rPr>
        <w:t>具体方法执行DB14/T</w:t>
      </w:r>
      <w:r>
        <w:rPr>
          <w:rFonts w:ascii="Times New Roman"/>
        </w:rPr>
        <w:t xml:space="preserve"> </w:t>
      </w:r>
      <w:r>
        <w:rPr>
          <w:rFonts w:hint="eastAsia"/>
        </w:rPr>
        <w:t>1288规定。</w:t>
      </w:r>
    </w:p>
    <w:p>
      <w:pPr>
        <w:pStyle w:val="105"/>
        <w:spacing w:before="156" w:after="156"/>
      </w:pPr>
      <w:r>
        <w:rPr>
          <w:rFonts w:hint="eastAsia"/>
        </w:rPr>
        <w:t>施肥浓度</w:t>
      </w:r>
    </w:p>
    <w:p>
      <w:pPr>
        <w:pStyle w:val="56"/>
        <w:ind w:firstLine="420"/>
      </w:pPr>
      <w:r>
        <w:rPr>
          <w:rFonts w:hint="eastAsia"/>
        </w:rPr>
        <w:t>生长初期</w:t>
      </w:r>
      <w:bookmarkStart w:id="112" w:name="_Hlk163033259"/>
      <w:r>
        <w:rPr>
          <w:rFonts w:hint="eastAsia"/>
        </w:rPr>
        <w:t>CO</w:t>
      </w:r>
      <w:r>
        <w:rPr>
          <w:rFonts w:hint="eastAsia"/>
          <w:vertAlign w:val="subscript"/>
        </w:rPr>
        <w:t>2</w:t>
      </w:r>
      <w:bookmarkEnd w:id="112"/>
      <w:r>
        <w:rPr>
          <w:rFonts w:hint="eastAsia"/>
        </w:rPr>
        <w:t>施肥浓度控制在600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～700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，生长盛期CO</w:t>
      </w:r>
      <w:r>
        <w:rPr>
          <w:rFonts w:hint="eastAsia"/>
          <w:vertAlign w:val="subscript"/>
        </w:rPr>
        <w:t>2</w:t>
      </w:r>
      <w:r>
        <w:rPr>
          <w:rFonts w:hint="eastAsia"/>
        </w:rPr>
        <w:t>施肥浓度控制在700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～800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w:t>
      </w:r>
    </w:p>
    <w:p>
      <w:pPr>
        <w:pStyle w:val="104"/>
        <w:spacing w:before="312" w:after="312"/>
      </w:pPr>
      <w:bookmarkStart w:id="113" w:name="_Toc163062076"/>
      <w:bookmarkStart w:id="114" w:name="_Toc163062019"/>
      <w:bookmarkStart w:id="115" w:name="_Toc164455685"/>
      <w:bookmarkStart w:id="116" w:name="_Toc162440343"/>
      <w:bookmarkStart w:id="117" w:name="_Toc163061985"/>
      <w:bookmarkStart w:id="118" w:name="_Toc162972216"/>
      <w:r>
        <w:rPr>
          <w:rFonts w:hint="eastAsia"/>
        </w:rPr>
        <w:t>病虫害防治</w:t>
      </w:r>
      <w:bookmarkEnd w:id="113"/>
      <w:bookmarkEnd w:id="114"/>
      <w:bookmarkEnd w:id="115"/>
      <w:bookmarkEnd w:id="116"/>
      <w:bookmarkEnd w:id="117"/>
      <w:bookmarkEnd w:id="118"/>
    </w:p>
    <w:p>
      <w:pPr>
        <w:pStyle w:val="56"/>
        <w:ind w:firstLine="420"/>
      </w:pPr>
      <w:r>
        <w:rPr>
          <w:rFonts w:hint="eastAsia"/>
        </w:rPr>
        <w:t>具体防治措施执行GB/T</w:t>
      </w:r>
      <w:r>
        <w:rPr>
          <w:rFonts w:ascii="Times New Roman"/>
        </w:rPr>
        <w:t xml:space="preserve"> </w:t>
      </w:r>
      <w:r>
        <w:rPr>
          <w:rFonts w:hint="eastAsia"/>
        </w:rPr>
        <w:t>23416.6规定。</w:t>
      </w:r>
    </w:p>
    <w:p>
      <w:pPr>
        <w:pStyle w:val="104"/>
        <w:spacing w:before="312" w:after="312"/>
      </w:pPr>
      <w:bookmarkStart w:id="119" w:name="_Toc163062077"/>
      <w:bookmarkStart w:id="120" w:name="_Toc162440344"/>
      <w:bookmarkStart w:id="121" w:name="_Toc162972217"/>
      <w:bookmarkStart w:id="122" w:name="_Toc163062020"/>
      <w:bookmarkStart w:id="123" w:name="_Toc163061986"/>
      <w:bookmarkStart w:id="124" w:name="_Toc164455686"/>
      <w:r>
        <w:rPr>
          <w:rFonts w:hint="eastAsia"/>
        </w:rPr>
        <w:t>采收</w:t>
      </w:r>
      <w:bookmarkEnd w:id="119"/>
      <w:bookmarkEnd w:id="120"/>
      <w:bookmarkEnd w:id="121"/>
      <w:bookmarkEnd w:id="122"/>
      <w:bookmarkEnd w:id="123"/>
      <w:bookmarkEnd w:id="124"/>
    </w:p>
    <w:p>
      <w:pPr>
        <w:pStyle w:val="56"/>
        <w:ind w:firstLine="420"/>
      </w:pPr>
      <w:r>
        <w:rPr>
          <w:rFonts w:hint="eastAsia"/>
        </w:rPr>
        <w:t>根据市场需求，散叶生菜定植后30</w:t>
      </w:r>
      <w:r>
        <w:rPr>
          <w:rFonts w:ascii="Times New Roman"/>
        </w:rPr>
        <w:t xml:space="preserve"> </w:t>
      </w:r>
      <w:r>
        <w:rPr>
          <w:rFonts w:hint="eastAsia"/>
        </w:rPr>
        <w:t>d左右采收，结球生菜40</w:t>
      </w:r>
      <w:r>
        <w:rPr>
          <w:rFonts w:ascii="Times New Roman"/>
        </w:rPr>
        <w:t xml:space="preserve"> </w:t>
      </w:r>
      <w:r>
        <w:rPr>
          <w:rFonts w:hint="eastAsia"/>
        </w:rPr>
        <w:t>d适时采收。</w:t>
      </w:r>
    </w:p>
    <w:p>
      <w:pPr>
        <w:pStyle w:val="104"/>
        <w:spacing w:before="312" w:after="312"/>
      </w:pPr>
      <w:bookmarkStart w:id="125" w:name="_Toc164455687"/>
      <w:bookmarkStart w:id="126" w:name="_Toc163062021"/>
      <w:bookmarkStart w:id="127" w:name="_Toc163061987"/>
      <w:bookmarkStart w:id="128" w:name="_Toc162972218"/>
      <w:bookmarkStart w:id="129" w:name="_Toc163062078"/>
      <w:bookmarkStart w:id="130" w:name="_Toc162440345"/>
      <w:r>
        <w:rPr>
          <w:rFonts w:hint="eastAsia"/>
        </w:rPr>
        <w:t>生产档案</w:t>
      </w:r>
      <w:bookmarkEnd w:id="125"/>
      <w:bookmarkEnd w:id="126"/>
      <w:bookmarkEnd w:id="127"/>
      <w:bookmarkEnd w:id="128"/>
      <w:bookmarkEnd w:id="129"/>
      <w:bookmarkEnd w:id="130"/>
    </w:p>
    <w:p>
      <w:pPr>
        <w:pStyle w:val="56"/>
        <w:ind w:firstLine="420"/>
      </w:pPr>
      <w:r>
        <w:rPr>
          <w:rFonts w:hint="eastAsia"/>
        </w:rPr>
        <w:t>建立日光温室生菜固碳生产档案，对CO</w:t>
      </w:r>
      <w:r>
        <w:rPr>
          <w:rFonts w:hint="eastAsia"/>
          <w:vertAlign w:val="subscript"/>
        </w:rPr>
        <w:t>2</w:t>
      </w:r>
      <w:r>
        <w:rPr>
          <w:rFonts w:hint="eastAsia"/>
        </w:rPr>
        <w:t>施肥、田间管理、病虫害防治和采收等各环节所采取的具体措施进行详细记录, 生产档案记录表见附录A。生产档案保存期为2年以上。</w:t>
      </w:r>
    </w:p>
    <w:p>
      <w:pPr>
        <w:pStyle w:val="56"/>
        <w:ind w:firstLine="420"/>
      </w:pP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8"/>
    <w:p>
      <w:pPr>
        <w:pStyle w:val="198"/>
        <w:rPr>
          <w:vanish w:val="0"/>
        </w:rPr>
      </w:pPr>
      <w:bookmarkStart w:id="131" w:name="BookMark5"/>
    </w:p>
    <w:p>
      <w:pPr>
        <w:pStyle w:val="199"/>
        <w:rPr>
          <w:vanish w:val="0"/>
        </w:rPr>
      </w:pPr>
    </w:p>
    <w:p>
      <w:pPr>
        <w:pStyle w:val="76"/>
      </w:pPr>
      <w:r>
        <w:br w:type="textWrapping"/>
      </w:r>
      <w:bookmarkStart w:id="132" w:name="_Toc164455688"/>
      <w:bookmarkStart w:id="133" w:name="_Toc163062079"/>
      <w:bookmarkStart w:id="134" w:name="_Toc162440346"/>
      <w:bookmarkStart w:id="135" w:name="_Toc162972219"/>
      <w:bookmarkStart w:id="136" w:name="_Toc163061988"/>
      <w:bookmarkStart w:id="137" w:name="_Toc162433379"/>
      <w:bookmarkStart w:id="138" w:name="_Toc163062022"/>
      <w:r>
        <w:rPr>
          <w:rFonts w:hint="eastAsia"/>
        </w:rPr>
        <w:t>（资料性）</w:t>
      </w:r>
      <w:r>
        <w:br w:type="textWrapping"/>
      </w:r>
      <w:r>
        <w:rPr>
          <w:rFonts w:hint="eastAsia"/>
        </w:rPr>
        <w:t>生产档案记录表</w:t>
      </w:r>
      <w:bookmarkEnd w:id="132"/>
      <w:bookmarkEnd w:id="133"/>
      <w:bookmarkEnd w:id="134"/>
      <w:bookmarkEnd w:id="135"/>
      <w:bookmarkEnd w:id="136"/>
      <w:bookmarkEnd w:id="137"/>
      <w:bookmarkEnd w:id="138"/>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65"/>
        <w:gridCol w:w="390"/>
        <w:gridCol w:w="310"/>
        <w:gridCol w:w="466"/>
        <w:gridCol w:w="780"/>
        <w:gridCol w:w="387"/>
        <w:gridCol w:w="234"/>
        <w:gridCol w:w="935"/>
        <w:gridCol w:w="932"/>
        <w:gridCol w:w="235"/>
        <w:gridCol w:w="388"/>
        <w:gridCol w:w="779"/>
        <w:gridCol w:w="465"/>
        <w:gridCol w:w="312"/>
        <w:gridCol w:w="390"/>
        <w:gridCol w:w="11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tblHeader/>
          <w:jc w:val="center"/>
        </w:trPr>
        <w:tc>
          <w:tcPr>
            <w:tcW w:w="1165" w:type="dxa"/>
            <w:tcBorders>
              <w:top w:val="single" w:color="auto" w:sz="8" w:space="0"/>
              <w:bottom w:val="single" w:color="auto" w:sz="8" w:space="0"/>
            </w:tcBorders>
            <w:shd w:val="clear" w:color="auto" w:fill="auto"/>
            <w:vAlign w:val="center"/>
          </w:tcPr>
          <w:p>
            <w:pPr>
              <w:pStyle w:val="178"/>
              <w:rPr>
                <w:sz w:val="21"/>
                <w:szCs w:val="21"/>
              </w:rPr>
            </w:pPr>
            <w:r>
              <w:rPr>
                <w:rFonts w:hint="eastAsia"/>
                <w:sz w:val="21"/>
                <w:szCs w:val="21"/>
              </w:rPr>
              <w:t>年度</w:t>
            </w:r>
          </w:p>
        </w:tc>
        <w:tc>
          <w:tcPr>
            <w:tcW w:w="1166" w:type="dxa"/>
            <w:gridSpan w:val="3"/>
            <w:tcBorders>
              <w:top w:val="single" w:color="auto" w:sz="8" w:space="0"/>
              <w:bottom w:val="single" w:color="auto" w:sz="8" w:space="0"/>
            </w:tcBorders>
            <w:shd w:val="clear" w:color="auto" w:fill="auto"/>
            <w:vAlign w:val="center"/>
          </w:tcPr>
          <w:p>
            <w:pPr>
              <w:pStyle w:val="178"/>
              <w:rPr>
                <w:sz w:val="21"/>
                <w:szCs w:val="21"/>
              </w:rPr>
            </w:pPr>
          </w:p>
        </w:tc>
        <w:tc>
          <w:tcPr>
            <w:tcW w:w="1167" w:type="dxa"/>
            <w:gridSpan w:val="2"/>
            <w:tcBorders>
              <w:top w:val="single" w:color="auto" w:sz="8" w:space="0"/>
              <w:bottom w:val="single" w:color="auto" w:sz="8" w:space="0"/>
            </w:tcBorders>
            <w:shd w:val="clear" w:color="auto" w:fill="auto"/>
            <w:vAlign w:val="center"/>
          </w:tcPr>
          <w:p>
            <w:pPr>
              <w:pStyle w:val="178"/>
              <w:rPr>
                <w:sz w:val="21"/>
                <w:szCs w:val="21"/>
              </w:rPr>
            </w:pPr>
            <w:r>
              <w:rPr>
                <w:rFonts w:hint="eastAsia"/>
                <w:sz w:val="21"/>
                <w:szCs w:val="21"/>
              </w:rPr>
              <w:t>地点</w:t>
            </w:r>
          </w:p>
        </w:tc>
        <w:tc>
          <w:tcPr>
            <w:tcW w:w="1169" w:type="dxa"/>
            <w:gridSpan w:val="2"/>
            <w:tcBorders>
              <w:top w:val="single" w:color="auto" w:sz="8" w:space="0"/>
              <w:bottom w:val="single" w:color="auto" w:sz="8" w:space="0"/>
            </w:tcBorders>
            <w:shd w:val="clear" w:color="auto" w:fill="auto"/>
            <w:vAlign w:val="center"/>
          </w:tcPr>
          <w:p>
            <w:pPr>
              <w:pStyle w:val="178"/>
              <w:rPr>
                <w:sz w:val="21"/>
                <w:szCs w:val="21"/>
              </w:rPr>
            </w:pPr>
          </w:p>
        </w:tc>
        <w:tc>
          <w:tcPr>
            <w:tcW w:w="1167" w:type="dxa"/>
            <w:gridSpan w:val="2"/>
            <w:tcBorders>
              <w:top w:val="single" w:color="auto" w:sz="8" w:space="0"/>
              <w:bottom w:val="single" w:color="auto" w:sz="8" w:space="0"/>
            </w:tcBorders>
            <w:shd w:val="clear" w:color="auto" w:fill="auto"/>
            <w:vAlign w:val="center"/>
          </w:tcPr>
          <w:p>
            <w:pPr>
              <w:pStyle w:val="178"/>
              <w:rPr>
                <w:sz w:val="21"/>
                <w:szCs w:val="21"/>
              </w:rPr>
            </w:pPr>
            <w:r>
              <w:rPr>
                <w:rFonts w:hint="eastAsia"/>
                <w:sz w:val="21"/>
                <w:szCs w:val="21"/>
              </w:rPr>
              <w:t>种类</w:t>
            </w:r>
          </w:p>
        </w:tc>
        <w:tc>
          <w:tcPr>
            <w:tcW w:w="1167" w:type="dxa"/>
            <w:gridSpan w:val="2"/>
            <w:tcBorders>
              <w:top w:val="single" w:color="auto" w:sz="8" w:space="0"/>
              <w:bottom w:val="single" w:color="auto" w:sz="8" w:space="0"/>
            </w:tcBorders>
            <w:shd w:val="clear" w:color="auto" w:fill="auto"/>
            <w:vAlign w:val="center"/>
          </w:tcPr>
          <w:p>
            <w:pPr>
              <w:pStyle w:val="178"/>
              <w:rPr>
                <w:sz w:val="21"/>
                <w:szCs w:val="21"/>
              </w:rPr>
            </w:pPr>
          </w:p>
        </w:tc>
        <w:tc>
          <w:tcPr>
            <w:tcW w:w="1167" w:type="dxa"/>
            <w:gridSpan w:val="3"/>
            <w:tcBorders>
              <w:top w:val="single" w:color="auto" w:sz="8" w:space="0"/>
              <w:bottom w:val="single" w:color="auto" w:sz="8" w:space="0"/>
            </w:tcBorders>
            <w:shd w:val="clear" w:color="auto" w:fill="auto"/>
            <w:vAlign w:val="center"/>
          </w:tcPr>
          <w:p>
            <w:pPr>
              <w:pStyle w:val="178"/>
              <w:rPr>
                <w:sz w:val="21"/>
                <w:szCs w:val="21"/>
              </w:rPr>
            </w:pPr>
            <w:r>
              <w:rPr>
                <w:rFonts w:hint="eastAsia"/>
                <w:sz w:val="21"/>
                <w:szCs w:val="21"/>
              </w:rPr>
              <w:t>记录人</w:t>
            </w:r>
          </w:p>
        </w:tc>
        <w:tc>
          <w:tcPr>
            <w:tcW w:w="1167" w:type="dxa"/>
            <w:tcBorders>
              <w:top w:val="single" w:color="auto" w:sz="8" w:space="0"/>
              <w:bottom w:val="single" w:color="auto" w:sz="8" w:space="0"/>
            </w:tcBorders>
            <w:shd w:val="clear" w:color="auto" w:fill="auto"/>
            <w:vAlign w:val="center"/>
          </w:tcPr>
          <w:p>
            <w:pPr>
              <w:pStyle w:val="178"/>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9335" w:type="dxa"/>
            <w:gridSpan w:val="16"/>
            <w:tcBorders>
              <w:top w:val="single" w:color="auto" w:sz="8" w:space="0"/>
            </w:tcBorders>
            <w:shd w:val="clear" w:color="auto" w:fill="auto"/>
            <w:vAlign w:val="center"/>
          </w:tcPr>
          <w:p>
            <w:pPr>
              <w:pStyle w:val="178"/>
              <w:jc w:val="left"/>
              <w:rPr>
                <w:sz w:val="21"/>
                <w:szCs w:val="21"/>
              </w:rPr>
            </w:pPr>
            <w:r>
              <w:rPr>
                <w:rFonts w:hint="eastAsia"/>
                <w:sz w:val="21"/>
                <w:szCs w:val="21"/>
              </w:rPr>
              <w:t>一、基本情况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165" w:type="dxa"/>
            <w:shd w:val="clear" w:color="auto" w:fill="auto"/>
            <w:vAlign w:val="center"/>
          </w:tcPr>
          <w:p>
            <w:pPr>
              <w:pStyle w:val="178"/>
              <w:rPr>
                <w:sz w:val="21"/>
                <w:szCs w:val="21"/>
              </w:rPr>
            </w:pPr>
            <w:r>
              <w:rPr>
                <w:rFonts w:hint="eastAsia"/>
                <w:sz w:val="21"/>
                <w:szCs w:val="21"/>
              </w:rPr>
              <w:t>设施类型</w:t>
            </w:r>
          </w:p>
        </w:tc>
        <w:tc>
          <w:tcPr>
            <w:tcW w:w="3502" w:type="dxa"/>
            <w:gridSpan w:val="7"/>
            <w:shd w:val="clear" w:color="auto" w:fill="auto"/>
            <w:vAlign w:val="center"/>
          </w:tcPr>
          <w:p>
            <w:pPr>
              <w:pStyle w:val="178"/>
              <w:rPr>
                <w:sz w:val="21"/>
                <w:szCs w:val="21"/>
              </w:rPr>
            </w:pPr>
          </w:p>
        </w:tc>
        <w:tc>
          <w:tcPr>
            <w:tcW w:w="1167" w:type="dxa"/>
            <w:gridSpan w:val="2"/>
            <w:shd w:val="clear" w:color="auto" w:fill="auto"/>
            <w:vAlign w:val="center"/>
          </w:tcPr>
          <w:p>
            <w:pPr>
              <w:pStyle w:val="178"/>
              <w:rPr>
                <w:sz w:val="21"/>
                <w:szCs w:val="21"/>
              </w:rPr>
            </w:pPr>
            <w:r>
              <w:rPr>
                <w:rFonts w:hint="eastAsia"/>
                <w:sz w:val="21"/>
                <w:szCs w:val="21"/>
              </w:rPr>
              <w:t>品种名称</w:t>
            </w:r>
          </w:p>
        </w:tc>
        <w:tc>
          <w:tcPr>
            <w:tcW w:w="3501" w:type="dxa"/>
            <w:gridSpan w:val="6"/>
            <w:shd w:val="clear" w:color="auto" w:fill="auto"/>
            <w:vAlign w:val="center"/>
          </w:tcPr>
          <w:p>
            <w:pPr>
              <w:pStyle w:val="178"/>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165" w:type="dxa"/>
            <w:shd w:val="clear" w:color="auto" w:fill="auto"/>
            <w:vAlign w:val="center"/>
          </w:tcPr>
          <w:p>
            <w:pPr>
              <w:pStyle w:val="178"/>
              <w:rPr>
                <w:sz w:val="21"/>
                <w:szCs w:val="21"/>
              </w:rPr>
            </w:pPr>
            <w:r>
              <w:rPr>
                <w:rFonts w:hint="eastAsia"/>
                <w:sz w:val="21"/>
                <w:szCs w:val="21"/>
              </w:rPr>
              <w:t>种植面积</w:t>
            </w:r>
          </w:p>
        </w:tc>
        <w:tc>
          <w:tcPr>
            <w:tcW w:w="3502" w:type="dxa"/>
            <w:gridSpan w:val="7"/>
            <w:shd w:val="clear" w:color="auto" w:fill="auto"/>
            <w:vAlign w:val="center"/>
          </w:tcPr>
          <w:p>
            <w:pPr>
              <w:pStyle w:val="178"/>
              <w:rPr>
                <w:sz w:val="21"/>
                <w:szCs w:val="21"/>
              </w:rPr>
            </w:pPr>
          </w:p>
        </w:tc>
        <w:tc>
          <w:tcPr>
            <w:tcW w:w="1167" w:type="dxa"/>
            <w:gridSpan w:val="2"/>
            <w:shd w:val="clear" w:color="auto" w:fill="auto"/>
            <w:vAlign w:val="center"/>
          </w:tcPr>
          <w:p>
            <w:pPr>
              <w:pStyle w:val="178"/>
              <w:rPr>
                <w:sz w:val="21"/>
                <w:szCs w:val="21"/>
              </w:rPr>
            </w:pPr>
            <w:r>
              <w:rPr>
                <w:rFonts w:hint="eastAsia"/>
                <w:sz w:val="21"/>
                <w:szCs w:val="21"/>
              </w:rPr>
              <w:t>定植时间</w:t>
            </w:r>
          </w:p>
        </w:tc>
        <w:tc>
          <w:tcPr>
            <w:tcW w:w="3501" w:type="dxa"/>
            <w:gridSpan w:val="6"/>
            <w:shd w:val="clear" w:color="auto" w:fill="auto"/>
            <w:vAlign w:val="center"/>
          </w:tcPr>
          <w:p>
            <w:pPr>
              <w:pStyle w:val="178"/>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165" w:type="dxa"/>
            <w:shd w:val="clear" w:color="auto" w:fill="auto"/>
            <w:vAlign w:val="center"/>
          </w:tcPr>
          <w:p>
            <w:pPr>
              <w:pStyle w:val="178"/>
              <w:rPr>
                <w:sz w:val="21"/>
                <w:szCs w:val="21"/>
              </w:rPr>
            </w:pPr>
            <w:r>
              <w:rPr>
                <w:rFonts w:hint="eastAsia"/>
                <w:sz w:val="21"/>
                <w:szCs w:val="21"/>
              </w:rPr>
              <w:t>始收时间</w:t>
            </w:r>
          </w:p>
        </w:tc>
        <w:tc>
          <w:tcPr>
            <w:tcW w:w="3502" w:type="dxa"/>
            <w:gridSpan w:val="7"/>
            <w:shd w:val="clear" w:color="auto" w:fill="auto"/>
            <w:vAlign w:val="center"/>
          </w:tcPr>
          <w:p>
            <w:pPr>
              <w:pStyle w:val="178"/>
              <w:rPr>
                <w:sz w:val="21"/>
                <w:szCs w:val="21"/>
              </w:rPr>
            </w:pPr>
          </w:p>
        </w:tc>
        <w:tc>
          <w:tcPr>
            <w:tcW w:w="1167" w:type="dxa"/>
            <w:gridSpan w:val="2"/>
            <w:shd w:val="clear" w:color="auto" w:fill="auto"/>
            <w:vAlign w:val="center"/>
          </w:tcPr>
          <w:p>
            <w:pPr>
              <w:pStyle w:val="178"/>
              <w:rPr>
                <w:sz w:val="21"/>
                <w:szCs w:val="21"/>
              </w:rPr>
            </w:pPr>
            <w:r>
              <w:rPr>
                <w:rFonts w:hint="eastAsia"/>
                <w:sz w:val="21"/>
                <w:szCs w:val="21"/>
              </w:rPr>
              <w:t>终收时间</w:t>
            </w:r>
          </w:p>
        </w:tc>
        <w:tc>
          <w:tcPr>
            <w:tcW w:w="3501" w:type="dxa"/>
            <w:gridSpan w:val="6"/>
            <w:shd w:val="clear" w:color="auto" w:fill="auto"/>
            <w:vAlign w:val="center"/>
          </w:tcPr>
          <w:p>
            <w:pPr>
              <w:pStyle w:val="178"/>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9335" w:type="dxa"/>
            <w:gridSpan w:val="16"/>
            <w:shd w:val="clear" w:color="auto" w:fill="auto"/>
            <w:vAlign w:val="center"/>
          </w:tcPr>
          <w:p>
            <w:pPr>
              <w:pStyle w:val="178"/>
              <w:jc w:val="left"/>
              <w:rPr>
                <w:sz w:val="21"/>
                <w:szCs w:val="21"/>
              </w:rPr>
            </w:pPr>
            <w:r>
              <w:rPr>
                <w:rFonts w:hint="eastAsia"/>
                <w:sz w:val="21"/>
                <w:szCs w:val="21"/>
              </w:rPr>
              <w:t>二、C</w:t>
            </w:r>
            <w:r>
              <w:rPr>
                <w:sz w:val="21"/>
                <w:szCs w:val="21"/>
              </w:rPr>
              <w:t>O</w:t>
            </w:r>
            <w:r>
              <w:rPr>
                <w:rFonts w:hint="eastAsia"/>
                <w:sz w:val="21"/>
                <w:szCs w:val="21"/>
                <w:vertAlign w:val="subscript"/>
              </w:rPr>
              <w:t>2</w:t>
            </w:r>
            <w:r>
              <w:rPr>
                <w:rFonts w:hint="eastAsia"/>
                <w:sz w:val="21"/>
                <w:szCs w:val="21"/>
              </w:rPr>
              <w:t>施肥情况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rPr>
                <w:sz w:val="21"/>
                <w:szCs w:val="21"/>
              </w:rPr>
            </w:pPr>
            <w:r>
              <w:rPr>
                <w:rFonts w:hint="eastAsia"/>
                <w:sz w:val="21"/>
                <w:szCs w:val="21"/>
              </w:rPr>
              <w:t>日期</w:t>
            </w:r>
          </w:p>
        </w:tc>
        <w:tc>
          <w:tcPr>
            <w:tcW w:w="1867" w:type="dxa"/>
            <w:gridSpan w:val="4"/>
            <w:shd w:val="clear" w:color="auto" w:fill="auto"/>
            <w:vAlign w:val="center"/>
          </w:tcPr>
          <w:p>
            <w:pPr>
              <w:pStyle w:val="178"/>
              <w:rPr>
                <w:sz w:val="21"/>
                <w:szCs w:val="21"/>
              </w:rPr>
            </w:pPr>
            <w:r>
              <w:rPr>
                <w:rFonts w:hint="eastAsia"/>
                <w:sz w:val="21"/>
                <w:szCs w:val="21"/>
              </w:rPr>
              <w:t>施肥时间</w:t>
            </w:r>
          </w:p>
        </w:tc>
        <w:tc>
          <w:tcPr>
            <w:tcW w:w="1867" w:type="dxa"/>
            <w:gridSpan w:val="2"/>
            <w:shd w:val="clear" w:color="auto" w:fill="auto"/>
            <w:vAlign w:val="center"/>
          </w:tcPr>
          <w:p>
            <w:pPr>
              <w:pStyle w:val="178"/>
              <w:rPr>
                <w:sz w:val="21"/>
                <w:szCs w:val="21"/>
              </w:rPr>
            </w:pPr>
            <w:r>
              <w:rPr>
                <w:rFonts w:hint="eastAsia"/>
                <w:sz w:val="21"/>
                <w:szCs w:val="21"/>
              </w:rPr>
              <w:t>施肥浓度</w:t>
            </w:r>
          </w:p>
        </w:tc>
        <w:tc>
          <w:tcPr>
            <w:tcW w:w="1867" w:type="dxa"/>
            <w:gridSpan w:val="4"/>
            <w:shd w:val="clear" w:color="auto" w:fill="auto"/>
            <w:vAlign w:val="center"/>
          </w:tcPr>
          <w:p>
            <w:pPr>
              <w:pStyle w:val="178"/>
              <w:rPr>
                <w:sz w:val="21"/>
                <w:szCs w:val="21"/>
              </w:rPr>
            </w:pPr>
            <w:r>
              <w:rPr>
                <w:rFonts w:hint="eastAsia"/>
                <w:sz w:val="21"/>
                <w:szCs w:val="21"/>
              </w:rPr>
              <w:t>施肥方法</w:t>
            </w:r>
          </w:p>
        </w:tc>
        <w:tc>
          <w:tcPr>
            <w:tcW w:w="1869" w:type="dxa"/>
            <w:gridSpan w:val="3"/>
            <w:shd w:val="clear" w:color="auto" w:fill="auto"/>
            <w:vAlign w:val="center"/>
          </w:tcPr>
          <w:p>
            <w:pPr>
              <w:pStyle w:val="178"/>
              <w:rPr>
                <w:sz w:val="21"/>
                <w:szCs w:val="21"/>
              </w:rPr>
            </w:pPr>
            <w:r>
              <w:rPr>
                <w:rFonts w:hint="eastAsia"/>
                <w:sz w:val="21"/>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9335" w:type="dxa"/>
            <w:gridSpan w:val="16"/>
            <w:shd w:val="clear" w:color="auto" w:fill="auto"/>
            <w:vAlign w:val="center"/>
          </w:tcPr>
          <w:p>
            <w:pPr>
              <w:pStyle w:val="178"/>
              <w:jc w:val="left"/>
              <w:rPr>
                <w:sz w:val="21"/>
                <w:szCs w:val="21"/>
              </w:rPr>
            </w:pPr>
            <w:r>
              <w:rPr>
                <w:rFonts w:hint="eastAsia"/>
                <w:sz w:val="21"/>
                <w:szCs w:val="21"/>
              </w:rPr>
              <w:t>三、其他投入品使用情况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rPr>
                <w:sz w:val="21"/>
                <w:szCs w:val="21"/>
              </w:rPr>
            </w:pPr>
            <w:r>
              <w:rPr>
                <w:rFonts w:hint="eastAsia"/>
                <w:sz w:val="21"/>
                <w:szCs w:val="21"/>
              </w:rPr>
              <w:t>使用时间</w:t>
            </w:r>
          </w:p>
        </w:tc>
        <w:tc>
          <w:tcPr>
            <w:tcW w:w="1556" w:type="dxa"/>
            <w:gridSpan w:val="3"/>
            <w:shd w:val="clear" w:color="auto" w:fill="auto"/>
            <w:vAlign w:val="center"/>
          </w:tcPr>
          <w:p>
            <w:pPr>
              <w:pStyle w:val="178"/>
              <w:rPr>
                <w:sz w:val="21"/>
                <w:szCs w:val="21"/>
              </w:rPr>
            </w:pPr>
            <w:r>
              <w:rPr>
                <w:rFonts w:hint="eastAsia"/>
                <w:sz w:val="21"/>
                <w:szCs w:val="21"/>
              </w:rPr>
              <w:t>投入品名称</w:t>
            </w:r>
          </w:p>
        </w:tc>
        <w:tc>
          <w:tcPr>
            <w:tcW w:w="1556" w:type="dxa"/>
            <w:gridSpan w:val="3"/>
            <w:shd w:val="clear" w:color="auto" w:fill="auto"/>
            <w:vAlign w:val="center"/>
          </w:tcPr>
          <w:p>
            <w:pPr>
              <w:pStyle w:val="178"/>
              <w:rPr>
                <w:sz w:val="21"/>
                <w:szCs w:val="21"/>
              </w:rPr>
            </w:pPr>
            <w:r>
              <w:rPr>
                <w:rFonts w:hint="eastAsia"/>
                <w:sz w:val="21"/>
                <w:szCs w:val="21"/>
              </w:rPr>
              <w:t>使用目的</w:t>
            </w:r>
          </w:p>
        </w:tc>
        <w:tc>
          <w:tcPr>
            <w:tcW w:w="1555" w:type="dxa"/>
            <w:gridSpan w:val="3"/>
            <w:shd w:val="clear" w:color="auto" w:fill="auto"/>
            <w:vAlign w:val="center"/>
          </w:tcPr>
          <w:p>
            <w:pPr>
              <w:pStyle w:val="178"/>
              <w:rPr>
                <w:sz w:val="21"/>
                <w:szCs w:val="21"/>
              </w:rPr>
            </w:pPr>
            <w:r>
              <w:rPr>
                <w:rFonts w:hint="eastAsia"/>
                <w:sz w:val="21"/>
                <w:szCs w:val="21"/>
              </w:rPr>
              <w:t>使用方法</w:t>
            </w:r>
          </w:p>
        </w:tc>
        <w:tc>
          <w:tcPr>
            <w:tcW w:w="1556" w:type="dxa"/>
            <w:gridSpan w:val="3"/>
            <w:shd w:val="clear" w:color="auto" w:fill="auto"/>
            <w:vAlign w:val="center"/>
          </w:tcPr>
          <w:p>
            <w:pPr>
              <w:pStyle w:val="178"/>
              <w:rPr>
                <w:sz w:val="21"/>
                <w:szCs w:val="21"/>
              </w:rPr>
            </w:pPr>
            <w:r>
              <w:rPr>
                <w:rFonts w:hint="eastAsia"/>
                <w:sz w:val="21"/>
                <w:szCs w:val="21"/>
              </w:rPr>
              <w:t>使用量</w:t>
            </w:r>
          </w:p>
        </w:tc>
        <w:tc>
          <w:tcPr>
            <w:tcW w:w="1557" w:type="dxa"/>
            <w:gridSpan w:val="2"/>
            <w:shd w:val="clear" w:color="auto" w:fill="auto"/>
            <w:vAlign w:val="center"/>
          </w:tcPr>
          <w:p>
            <w:pPr>
              <w:pStyle w:val="178"/>
              <w:rPr>
                <w:sz w:val="21"/>
                <w:szCs w:val="21"/>
              </w:rPr>
            </w:pPr>
            <w:r>
              <w:rPr>
                <w:rFonts w:hint="eastAsia"/>
                <w:sz w:val="21"/>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rPr>
                <w:sz w:val="21"/>
                <w:szCs w:val="21"/>
              </w:rPr>
            </w:pPr>
          </w:p>
        </w:tc>
        <w:tc>
          <w:tcPr>
            <w:tcW w:w="1556" w:type="dxa"/>
            <w:gridSpan w:val="3"/>
            <w:shd w:val="clear" w:color="auto" w:fill="auto"/>
            <w:vAlign w:val="center"/>
          </w:tcPr>
          <w:p>
            <w:pPr>
              <w:pStyle w:val="178"/>
              <w:rPr>
                <w:sz w:val="21"/>
                <w:szCs w:val="21"/>
              </w:rPr>
            </w:pPr>
          </w:p>
        </w:tc>
        <w:tc>
          <w:tcPr>
            <w:tcW w:w="1556" w:type="dxa"/>
            <w:gridSpan w:val="3"/>
            <w:shd w:val="clear" w:color="auto" w:fill="auto"/>
            <w:vAlign w:val="center"/>
          </w:tcPr>
          <w:p>
            <w:pPr>
              <w:pStyle w:val="178"/>
              <w:rPr>
                <w:sz w:val="21"/>
                <w:szCs w:val="21"/>
              </w:rPr>
            </w:pPr>
          </w:p>
        </w:tc>
        <w:tc>
          <w:tcPr>
            <w:tcW w:w="1555" w:type="dxa"/>
            <w:gridSpan w:val="3"/>
            <w:shd w:val="clear" w:color="auto" w:fill="auto"/>
            <w:vAlign w:val="center"/>
          </w:tcPr>
          <w:p>
            <w:pPr>
              <w:pStyle w:val="178"/>
              <w:rPr>
                <w:sz w:val="21"/>
                <w:szCs w:val="21"/>
              </w:rPr>
            </w:pPr>
          </w:p>
        </w:tc>
        <w:tc>
          <w:tcPr>
            <w:tcW w:w="1556" w:type="dxa"/>
            <w:gridSpan w:val="3"/>
            <w:shd w:val="clear" w:color="auto" w:fill="auto"/>
            <w:vAlign w:val="center"/>
          </w:tcPr>
          <w:p>
            <w:pPr>
              <w:pStyle w:val="178"/>
              <w:rPr>
                <w:sz w:val="21"/>
                <w:szCs w:val="21"/>
              </w:rPr>
            </w:pPr>
          </w:p>
        </w:tc>
        <w:tc>
          <w:tcPr>
            <w:tcW w:w="1557" w:type="dxa"/>
            <w:gridSpan w:val="2"/>
            <w:shd w:val="clear" w:color="auto" w:fill="auto"/>
            <w:vAlign w:val="center"/>
          </w:tcPr>
          <w:p>
            <w:pPr>
              <w:pStyle w:val="178"/>
              <w:rPr>
                <w:sz w:val="21"/>
                <w:szCs w:val="21"/>
              </w:rPr>
            </w:pPr>
          </w:p>
        </w:tc>
      </w:tr>
      <w:bookmarkEnd w:id="131"/>
    </w:tbl>
    <w:p>
      <w:pPr>
        <w:pStyle w:val="56"/>
        <w:ind w:firstLine="0" w:firstLineChars="0"/>
        <w:jc w:val="center"/>
      </w:pPr>
      <w:bookmarkStart w:id="139"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9"/>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1568—2024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DB14/T 1568—2024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NDlhOTAwNjM2MmU1ZGYzMDNjNWYwYzZjN2EyMzcifQ=="/>
  </w:docVars>
  <w:rsids>
    <w:rsidRoot w:val="00702DC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3E46"/>
    <w:rsid w:val="000249DB"/>
    <w:rsid w:val="0002595E"/>
    <w:rsid w:val="00026457"/>
    <w:rsid w:val="000303C3"/>
    <w:rsid w:val="000331D3"/>
    <w:rsid w:val="000346A5"/>
    <w:rsid w:val="000359C3"/>
    <w:rsid w:val="00035A7D"/>
    <w:rsid w:val="000365ED"/>
    <w:rsid w:val="00036794"/>
    <w:rsid w:val="0004249A"/>
    <w:rsid w:val="00043282"/>
    <w:rsid w:val="00044286"/>
    <w:rsid w:val="00047F28"/>
    <w:rsid w:val="000503AA"/>
    <w:rsid w:val="000506A1"/>
    <w:rsid w:val="000515DD"/>
    <w:rsid w:val="00051A29"/>
    <w:rsid w:val="0005265A"/>
    <w:rsid w:val="000539DD"/>
    <w:rsid w:val="00053BD3"/>
    <w:rsid w:val="000556ED"/>
    <w:rsid w:val="00055FE2"/>
    <w:rsid w:val="0005616F"/>
    <w:rsid w:val="00060C2E"/>
    <w:rsid w:val="00061033"/>
    <w:rsid w:val="000619E9"/>
    <w:rsid w:val="000622D4"/>
    <w:rsid w:val="0006357D"/>
    <w:rsid w:val="00066EE3"/>
    <w:rsid w:val="00067F1E"/>
    <w:rsid w:val="00071CC0"/>
    <w:rsid w:val="00073C8C"/>
    <w:rsid w:val="00077B64"/>
    <w:rsid w:val="00080A1C"/>
    <w:rsid w:val="00082317"/>
    <w:rsid w:val="00083D2C"/>
    <w:rsid w:val="00086AA1"/>
    <w:rsid w:val="00087A77"/>
    <w:rsid w:val="00090112"/>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D58"/>
    <w:rsid w:val="00170804"/>
    <w:rsid w:val="001708E9"/>
    <w:rsid w:val="0017340B"/>
    <w:rsid w:val="00173784"/>
    <w:rsid w:val="00173FB1"/>
    <w:rsid w:val="00176DFD"/>
    <w:rsid w:val="001852C9"/>
    <w:rsid w:val="00190087"/>
    <w:rsid w:val="001913C4"/>
    <w:rsid w:val="0019348F"/>
    <w:rsid w:val="00193A07"/>
    <w:rsid w:val="001949D9"/>
    <w:rsid w:val="00194C95"/>
    <w:rsid w:val="00195C34"/>
    <w:rsid w:val="00196EF5"/>
    <w:rsid w:val="001A1A53"/>
    <w:rsid w:val="001A234A"/>
    <w:rsid w:val="001A4CF3"/>
    <w:rsid w:val="001B06E8"/>
    <w:rsid w:val="001B4C5C"/>
    <w:rsid w:val="001B71D0"/>
    <w:rsid w:val="001B71EE"/>
    <w:rsid w:val="001C04A8"/>
    <w:rsid w:val="001C2C03"/>
    <w:rsid w:val="001C42F7"/>
    <w:rsid w:val="001C49E5"/>
    <w:rsid w:val="001C680C"/>
    <w:rsid w:val="001C6AD0"/>
    <w:rsid w:val="001C7FEA"/>
    <w:rsid w:val="001D0499"/>
    <w:rsid w:val="001D0BBE"/>
    <w:rsid w:val="001D0ED4"/>
    <w:rsid w:val="001D212F"/>
    <w:rsid w:val="001D2798"/>
    <w:rsid w:val="001D29D7"/>
    <w:rsid w:val="001D2DE7"/>
    <w:rsid w:val="001D411C"/>
    <w:rsid w:val="001D479F"/>
    <w:rsid w:val="001D4EA7"/>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1AA"/>
    <w:rsid w:val="002142EA"/>
    <w:rsid w:val="002204BB"/>
    <w:rsid w:val="00221B79"/>
    <w:rsid w:val="00221C6B"/>
    <w:rsid w:val="002253A1"/>
    <w:rsid w:val="00225CF8"/>
    <w:rsid w:val="00225D05"/>
    <w:rsid w:val="0022794E"/>
    <w:rsid w:val="00231356"/>
    <w:rsid w:val="00233D64"/>
    <w:rsid w:val="0023482A"/>
    <w:rsid w:val="002359CB"/>
    <w:rsid w:val="00243540"/>
    <w:rsid w:val="0024497B"/>
    <w:rsid w:val="0024515B"/>
    <w:rsid w:val="00246021"/>
    <w:rsid w:val="0024666E"/>
    <w:rsid w:val="00247F52"/>
    <w:rsid w:val="00250B25"/>
    <w:rsid w:val="00250BBE"/>
    <w:rsid w:val="002515C2"/>
    <w:rsid w:val="0025194F"/>
    <w:rsid w:val="00256CD8"/>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0A2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20C"/>
    <w:rsid w:val="002A757F"/>
    <w:rsid w:val="002A7F44"/>
    <w:rsid w:val="002B0C40"/>
    <w:rsid w:val="002B1966"/>
    <w:rsid w:val="002B4508"/>
    <w:rsid w:val="002B45BE"/>
    <w:rsid w:val="002B5779"/>
    <w:rsid w:val="002B58A0"/>
    <w:rsid w:val="002B7332"/>
    <w:rsid w:val="002B7F51"/>
    <w:rsid w:val="002C09E7"/>
    <w:rsid w:val="002C1E06"/>
    <w:rsid w:val="002C1E1C"/>
    <w:rsid w:val="002C3F07"/>
    <w:rsid w:val="002C5278"/>
    <w:rsid w:val="002C7EBB"/>
    <w:rsid w:val="002D06C1"/>
    <w:rsid w:val="002D0F21"/>
    <w:rsid w:val="002D42B5"/>
    <w:rsid w:val="002D4F1A"/>
    <w:rsid w:val="002D6EC6"/>
    <w:rsid w:val="002D79AC"/>
    <w:rsid w:val="002E039D"/>
    <w:rsid w:val="002E0763"/>
    <w:rsid w:val="002E4D5A"/>
    <w:rsid w:val="002E4E9D"/>
    <w:rsid w:val="002E5097"/>
    <w:rsid w:val="002E6326"/>
    <w:rsid w:val="002F30E0"/>
    <w:rsid w:val="002F35E4"/>
    <w:rsid w:val="002F3730"/>
    <w:rsid w:val="002F38E1"/>
    <w:rsid w:val="002F6322"/>
    <w:rsid w:val="002F7AF6"/>
    <w:rsid w:val="00300E63"/>
    <w:rsid w:val="00302F5F"/>
    <w:rsid w:val="0030441D"/>
    <w:rsid w:val="00306063"/>
    <w:rsid w:val="00313B85"/>
    <w:rsid w:val="0031493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32A6"/>
    <w:rsid w:val="003615D2"/>
    <w:rsid w:val="0036429C"/>
    <w:rsid w:val="00364A53"/>
    <w:rsid w:val="003654CB"/>
    <w:rsid w:val="00365AA9"/>
    <w:rsid w:val="00365F86"/>
    <w:rsid w:val="00365F87"/>
    <w:rsid w:val="00366E89"/>
    <w:rsid w:val="00367535"/>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26EC"/>
    <w:rsid w:val="003C5A43"/>
    <w:rsid w:val="003D0519"/>
    <w:rsid w:val="003D0FF6"/>
    <w:rsid w:val="003D262C"/>
    <w:rsid w:val="003D6D61"/>
    <w:rsid w:val="003D79C6"/>
    <w:rsid w:val="003E091D"/>
    <w:rsid w:val="003E1C53"/>
    <w:rsid w:val="003E2A69"/>
    <w:rsid w:val="003E2D49"/>
    <w:rsid w:val="003E2FD4"/>
    <w:rsid w:val="003E49F6"/>
    <w:rsid w:val="003E660F"/>
    <w:rsid w:val="003E72A5"/>
    <w:rsid w:val="003F0841"/>
    <w:rsid w:val="003F23D3"/>
    <w:rsid w:val="003F3F08"/>
    <w:rsid w:val="003F49F1"/>
    <w:rsid w:val="003F6272"/>
    <w:rsid w:val="00400B6B"/>
    <w:rsid w:val="00400E72"/>
    <w:rsid w:val="00401400"/>
    <w:rsid w:val="00404869"/>
    <w:rsid w:val="00405884"/>
    <w:rsid w:val="00407D39"/>
    <w:rsid w:val="0041477A"/>
    <w:rsid w:val="004167A3"/>
    <w:rsid w:val="004311DE"/>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524"/>
    <w:rsid w:val="00492F02"/>
    <w:rsid w:val="004939AE"/>
    <w:rsid w:val="004A12DF"/>
    <w:rsid w:val="004A17E6"/>
    <w:rsid w:val="004A1BA8"/>
    <w:rsid w:val="004A4B57"/>
    <w:rsid w:val="004A4E3C"/>
    <w:rsid w:val="004A63FA"/>
    <w:rsid w:val="004A769D"/>
    <w:rsid w:val="004B0272"/>
    <w:rsid w:val="004B2701"/>
    <w:rsid w:val="004B2E1B"/>
    <w:rsid w:val="004B3AA8"/>
    <w:rsid w:val="004B3E93"/>
    <w:rsid w:val="004B5659"/>
    <w:rsid w:val="004C1FBC"/>
    <w:rsid w:val="004C3F1D"/>
    <w:rsid w:val="004C458D"/>
    <w:rsid w:val="004C7556"/>
    <w:rsid w:val="004C7E8B"/>
    <w:rsid w:val="004C7E9D"/>
    <w:rsid w:val="004C7F67"/>
    <w:rsid w:val="004D076D"/>
    <w:rsid w:val="004D0EF1"/>
    <w:rsid w:val="004D20C7"/>
    <w:rsid w:val="004D2253"/>
    <w:rsid w:val="004D4406"/>
    <w:rsid w:val="004D7C42"/>
    <w:rsid w:val="004E0465"/>
    <w:rsid w:val="004E127B"/>
    <w:rsid w:val="004E1C0A"/>
    <w:rsid w:val="004E2B06"/>
    <w:rsid w:val="004E30C5"/>
    <w:rsid w:val="004E4AA5"/>
    <w:rsid w:val="004E4AEE"/>
    <w:rsid w:val="004E59E3"/>
    <w:rsid w:val="004E67C0"/>
    <w:rsid w:val="004F0F83"/>
    <w:rsid w:val="004F391A"/>
    <w:rsid w:val="004F3CFB"/>
    <w:rsid w:val="004F5DAC"/>
    <w:rsid w:val="004F6456"/>
    <w:rsid w:val="004F696E"/>
    <w:rsid w:val="004F6C71"/>
    <w:rsid w:val="00500505"/>
    <w:rsid w:val="00501139"/>
    <w:rsid w:val="0050363E"/>
    <w:rsid w:val="005039BC"/>
    <w:rsid w:val="005043BB"/>
    <w:rsid w:val="00504A3D"/>
    <w:rsid w:val="00505767"/>
    <w:rsid w:val="005073F0"/>
    <w:rsid w:val="00510A7B"/>
    <w:rsid w:val="00512F6E"/>
    <w:rsid w:val="00513038"/>
    <w:rsid w:val="00514174"/>
    <w:rsid w:val="00516088"/>
    <w:rsid w:val="00516B0B"/>
    <w:rsid w:val="00520CEC"/>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3F"/>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2D57"/>
    <w:rsid w:val="005C5F21"/>
    <w:rsid w:val="005C7156"/>
    <w:rsid w:val="005D0C75"/>
    <w:rsid w:val="005D1097"/>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1C4"/>
    <w:rsid w:val="006205D6"/>
    <w:rsid w:val="00621580"/>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5DC9"/>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2DC8"/>
    <w:rsid w:val="00704387"/>
    <w:rsid w:val="00707669"/>
    <w:rsid w:val="00711CBA"/>
    <w:rsid w:val="00711FB5"/>
    <w:rsid w:val="00712A01"/>
    <w:rsid w:val="00714F58"/>
    <w:rsid w:val="00722FBF"/>
    <w:rsid w:val="00722FC2"/>
    <w:rsid w:val="007242DB"/>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68AE"/>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029"/>
    <w:rsid w:val="007A3475"/>
    <w:rsid w:val="007A41C8"/>
    <w:rsid w:val="007A54CE"/>
    <w:rsid w:val="007A6FD9"/>
    <w:rsid w:val="007A7FFA"/>
    <w:rsid w:val="007B04EB"/>
    <w:rsid w:val="007B0D4F"/>
    <w:rsid w:val="007B5A3D"/>
    <w:rsid w:val="007B5B95"/>
    <w:rsid w:val="007B68EA"/>
    <w:rsid w:val="007B7453"/>
    <w:rsid w:val="007C1E8B"/>
    <w:rsid w:val="007C2D89"/>
    <w:rsid w:val="007C41BE"/>
    <w:rsid w:val="007C4593"/>
    <w:rsid w:val="007C5309"/>
    <w:rsid w:val="007C6069"/>
    <w:rsid w:val="007D06C4"/>
    <w:rsid w:val="007D1352"/>
    <w:rsid w:val="007D2508"/>
    <w:rsid w:val="007D346A"/>
    <w:rsid w:val="007D6518"/>
    <w:rsid w:val="007D76BD"/>
    <w:rsid w:val="007E0BF1"/>
    <w:rsid w:val="007E606B"/>
    <w:rsid w:val="007F0ED8"/>
    <w:rsid w:val="007F0F63"/>
    <w:rsid w:val="007F75CE"/>
    <w:rsid w:val="00800B77"/>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190"/>
    <w:rsid w:val="00830621"/>
    <w:rsid w:val="0083348C"/>
    <w:rsid w:val="008373D3"/>
    <w:rsid w:val="00837C66"/>
    <w:rsid w:val="00840617"/>
    <w:rsid w:val="00840F84"/>
    <w:rsid w:val="00842A47"/>
    <w:rsid w:val="00843C13"/>
    <w:rsid w:val="008454F8"/>
    <w:rsid w:val="0085173A"/>
    <w:rsid w:val="00856316"/>
    <w:rsid w:val="00857C2B"/>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2DF8"/>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19A8"/>
    <w:rsid w:val="008C219C"/>
    <w:rsid w:val="008C24F9"/>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1F9"/>
    <w:rsid w:val="008E5518"/>
    <w:rsid w:val="008E6A84"/>
    <w:rsid w:val="008F0CDC"/>
    <w:rsid w:val="008F17A3"/>
    <w:rsid w:val="008F1ED3"/>
    <w:rsid w:val="008F23A5"/>
    <w:rsid w:val="008F4C29"/>
    <w:rsid w:val="008F70BD"/>
    <w:rsid w:val="008F788F"/>
    <w:rsid w:val="008F7EA2"/>
    <w:rsid w:val="00902722"/>
    <w:rsid w:val="009027BC"/>
    <w:rsid w:val="00903EDA"/>
    <w:rsid w:val="009062E6"/>
    <w:rsid w:val="00911BE5"/>
    <w:rsid w:val="00913CA9"/>
    <w:rsid w:val="009145AE"/>
    <w:rsid w:val="009146CE"/>
    <w:rsid w:val="00914CA7"/>
    <w:rsid w:val="00915C3E"/>
    <w:rsid w:val="009161A8"/>
    <w:rsid w:val="00916948"/>
    <w:rsid w:val="00923CB1"/>
    <w:rsid w:val="009245F5"/>
    <w:rsid w:val="009249EC"/>
    <w:rsid w:val="009273B3"/>
    <w:rsid w:val="009305B5"/>
    <w:rsid w:val="009429D5"/>
    <w:rsid w:val="00942BF1"/>
    <w:rsid w:val="00943835"/>
    <w:rsid w:val="00945180"/>
    <w:rsid w:val="00945428"/>
    <w:rsid w:val="0094607B"/>
    <w:rsid w:val="00951E07"/>
    <w:rsid w:val="00953604"/>
    <w:rsid w:val="0095496B"/>
    <w:rsid w:val="009610DC"/>
    <w:rsid w:val="00961490"/>
    <w:rsid w:val="0096381A"/>
    <w:rsid w:val="00965E04"/>
    <w:rsid w:val="009674AD"/>
    <w:rsid w:val="00970CDC"/>
    <w:rsid w:val="009766C7"/>
    <w:rsid w:val="00977010"/>
    <w:rsid w:val="00977D02"/>
    <w:rsid w:val="009809BB"/>
    <w:rsid w:val="00981E2C"/>
    <w:rsid w:val="009824F2"/>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4C6F"/>
    <w:rsid w:val="009B6029"/>
    <w:rsid w:val="009B6971"/>
    <w:rsid w:val="009C27F1"/>
    <w:rsid w:val="009C307F"/>
    <w:rsid w:val="009C3152"/>
    <w:rsid w:val="009C4CFA"/>
    <w:rsid w:val="009C5070"/>
    <w:rsid w:val="009D112C"/>
    <w:rsid w:val="009D47FA"/>
    <w:rsid w:val="009D4C5B"/>
    <w:rsid w:val="009D50D2"/>
    <w:rsid w:val="009D6BCA"/>
    <w:rsid w:val="009E0F62"/>
    <w:rsid w:val="009E3573"/>
    <w:rsid w:val="009E4A58"/>
    <w:rsid w:val="009E5A2D"/>
    <w:rsid w:val="009E5AB2"/>
    <w:rsid w:val="009E6219"/>
    <w:rsid w:val="009F03B3"/>
    <w:rsid w:val="00A0096C"/>
    <w:rsid w:val="00A01757"/>
    <w:rsid w:val="00A028C0"/>
    <w:rsid w:val="00A02BAE"/>
    <w:rsid w:val="00A06A6B"/>
    <w:rsid w:val="00A07E47"/>
    <w:rsid w:val="00A11D55"/>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74A"/>
    <w:rsid w:val="00A42CDF"/>
    <w:rsid w:val="00A4452E"/>
    <w:rsid w:val="00A4472C"/>
    <w:rsid w:val="00A44E69"/>
    <w:rsid w:val="00A4661E"/>
    <w:rsid w:val="00A520C5"/>
    <w:rsid w:val="00A55BD6"/>
    <w:rsid w:val="00A55D50"/>
    <w:rsid w:val="00A57142"/>
    <w:rsid w:val="00A648CD"/>
    <w:rsid w:val="00A6537A"/>
    <w:rsid w:val="00A67866"/>
    <w:rsid w:val="00A70B07"/>
    <w:rsid w:val="00A723F8"/>
    <w:rsid w:val="00A77CCB"/>
    <w:rsid w:val="00A8082D"/>
    <w:rsid w:val="00A83D8D"/>
    <w:rsid w:val="00A8446B"/>
    <w:rsid w:val="00A84674"/>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0A8F"/>
    <w:rsid w:val="00AC27A6"/>
    <w:rsid w:val="00AC30F7"/>
    <w:rsid w:val="00AC3A5A"/>
    <w:rsid w:val="00AC4D95"/>
    <w:rsid w:val="00AC5DF4"/>
    <w:rsid w:val="00AC5E12"/>
    <w:rsid w:val="00AD0AEF"/>
    <w:rsid w:val="00AD11B7"/>
    <w:rsid w:val="00AD1A94"/>
    <w:rsid w:val="00AD1C05"/>
    <w:rsid w:val="00AD4126"/>
    <w:rsid w:val="00AD421C"/>
    <w:rsid w:val="00AD44FA"/>
    <w:rsid w:val="00AE070A"/>
    <w:rsid w:val="00AE101C"/>
    <w:rsid w:val="00AE37E5"/>
    <w:rsid w:val="00AE5EB4"/>
    <w:rsid w:val="00AE684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2724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21AF"/>
    <w:rsid w:val="00BB5F8F"/>
    <w:rsid w:val="00BB657A"/>
    <w:rsid w:val="00BC1A4E"/>
    <w:rsid w:val="00BC4790"/>
    <w:rsid w:val="00BC4A44"/>
    <w:rsid w:val="00BC5DC7"/>
    <w:rsid w:val="00BC6B8B"/>
    <w:rsid w:val="00BC73D8"/>
    <w:rsid w:val="00BD4D5F"/>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7B8"/>
    <w:rsid w:val="00C24C8D"/>
    <w:rsid w:val="00C25FE2"/>
    <w:rsid w:val="00C26B53"/>
    <w:rsid w:val="00C279B2"/>
    <w:rsid w:val="00C30DD2"/>
    <w:rsid w:val="00C33E50"/>
    <w:rsid w:val="00C34C20"/>
    <w:rsid w:val="00C35A3E"/>
    <w:rsid w:val="00C3784F"/>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495"/>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0DB"/>
    <w:rsid w:val="00D171ED"/>
    <w:rsid w:val="00D172E2"/>
    <w:rsid w:val="00D20737"/>
    <w:rsid w:val="00D21E81"/>
    <w:rsid w:val="00D223DE"/>
    <w:rsid w:val="00D25E37"/>
    <w:rsid w:val="00D2661A"/>
    <w:rsid w:val="00D27582"/>
    <w:rsid w:val="00D27EC4"/>
    <w:rsid w:val="00D27F5E"/>
    <w:rsid w:val="00D32719"/>
    <w:rsid w:val="00D33333"/>
    <w:rsid w:val="00D33457"/>
    <w:rsid w:val="00D352A2"/>
    <w:rsid w:val="00D4162B"/>
    <w:rsid w:val="00D4514F"/>
    <w:rsid w:val="00D451E2"/>
    <w:rsid w:val="00D45E89"/>
    <w:rsid w:val="00D45E8D"/>
    <w:rsid w:val="00D466AE"/>
    <w:rsid w:val="00D4734F"/>
    <w:rsid w:val="00D50D0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0A8D"/>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075D9"/>
    <w:rsid w:val="00E11A85"/>
    <w:rsid w:val="00E12495"/>
    <w:rsid w:val="00E15CCD"/>
    <w:rsid w:val="00E16DA8"/>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0A5"/>
    <w:rsid w:val="00E60C63"/>
    <w:rsid w:val="00E62FF9"/>
    <w:rsid w:val="00E635D6"/>
    <w:rsid w:val="00E639BC"/>
    <w:rsid w:val="00E6444F"/>
    <w:rsid w:val="00E664CC"/>
    <w:rsid w:val="00E70388"/>
    <w:rsid w:val="00E70F92"/>
    <w:rsid w:val="00E726DE"/>
    <w:rsid w:val="00E74C54"/>
    <w:rsid w:val="00E77A03"/>
    <w:rsid w:val="00E822E8"/>
    <w:rsid w:val="00E82554"/>
    <w:rsid w:val="00E82606"/>
    <w:rsid w:val="00E846C8"/>
    <w:rsid w:val="00E84957"/>
    <w:rsid w:val="00E84A55"/>
    <w:rsid w:val="00E85BFF"/>
    <w:rsid w:val="00E85E54"/>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5935"/>
    <w:rsid w:val="00ED067A"/>
    <w:rsid w:val="00ED2B50"/>
    <w:rsid w:val="00ED5DF2"/>
    <w:rsid w:val="00EE0350"/>
    <w:rsid w:val="00EE0719"/>
    <w:rsid w:val="00EE0E80"/>
    <w:rsid w:val="00EE54A6"/>
    <w:rsid w:val="00EE613F"/>
    <w:rsid w:val="00EE7295"/>
    <w:rsid w:val="00EE7869"/>
    <w:rsid w:val="00EF054A"/>
    <w:rsid w:val="00EF3235"/>
    <w:rsid w:val="00EF7E72"/>
    <w:rsid w:val="00F02C9E"/>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38ED"/>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0465"/>
    <w:rsid w:val="00F9108B"/>
    <w:rsid w:val="00F91349"/>
    <w:rsid w:val="00F93A8A"/>
    <w:rsid w:val="00F95248"/>
    <w:rsid w:val="00F956A9"/>
    <w:rsid w:val="00F963ED"/>
    <w:rsid w:val="00F966CF"/>
    <w:rsid w:val="00F96CAE"/>
    <w:rsid w:val="00F97C99"/>
    <w:rsid w:val="00FA41B8"/>
    <w:rsid w:val="00FA4DAC"/>
    <w:rsid w:val="00FA662D"/>
    <w:rsid w:val="00FA73B1"/>
    <w:rsid w:val="00FB0CB9"/>
    <w:rsid w:val="00FB231D"/>
    <w:rsid w:val="00FB45F1"/>
    <w:rsid w:val="00FB4A72"/>
    <w:rsid w:val="00FB54E8"/>
    <w:rsid w:val="00FB7054"/>
    <w:rsid w:val="00FC0A26"/>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E2A"/>
    <w:rsid w:val="00FF3E7D"/>
    <w:rsid w:val="00FF5B99"/>
    <w:rsid w:val="00FF730C"/>
    <w:rsid w:val="00FF73F4"/>
    <w:rsid w:val="00FF7CE4"/>
    <w:rsid w:val="00FF7E39"/>
    <w:rsid w:val="01154EDD"/>
    <w:rsid w:val="012E5D50"/>
    <w:rsid w:val="0138166C"/>
    <w:rsid w:val="0168074B"/>
    <w:rsid w:val="016D6AC7"/>
    <w:rsid w:val="021D04ED"/>
    <w:rsid w:val="022655F4"/>
    <w:rsid w:val="025C30E2"/>
    <w:rsid w:val="02A97FD3"/>
    <w:rsid w:val="02DE5ECF"/>
    <w:rsid w:val="035241C7"/>
    <w:rsid w:val="039D7511"/>
    <w:rsid w:val="03D348AC"/>
    <w:rsid w:val="041B0A5C"/>
    <w:rsid w:val="04A90C27"/>
    <w:rsid w:val="04AE73DD"/>
    <w:rsid w:val="04CB2483"/>
    <w:rsid w:val="04E946B7"/>
    <w:rsid w:val="059D3E1F"/>
    <w:rsid w:val="06436049"/>
    <w:rsid w:val="07D9342B"/>
    <w:rsid w:val="08624EAC"/>
    <w:rsid w:val="0A2C751F"/>
    <w:rsid w:val="0B562520"/>
    <w:rsid w:val="0BFE1FEC"/>
    <w:rsid w:val="0C450D6C"/>
    <w:rsid w:val="0CCA1272"/>
    <w:rsid w:val="0D662D48"/>
    <w:rsid w:val="0E7D708E"/>
    <w:rsid w:val="0F072309"/>
    <w:rsid w:val="0F5512C6"/>
    <w:rsid w:val="0FBD50BE"/>
    <w:rsid w:val="10437754"/>
    <w:rsid w:val="105F7F23"/>
    <w:rsid w:val="109127D2"/>
    <w:rsid w:val="10B3759E"/>
    <w:rsid w:val="10E36DA6"/>
    <w:rsid w:val="1145536B"/>
    <w:rsid w:val="119F2F9C"/>
    <w:rsid w:val="11A7392F"/>
    <w:rsid w:val="121216F1"/>
    <w:rsid w:val="1279351E"/>
    <w:rsid w:val="12ED1816"/>
    <w:rsid w:val="133D4C82"/>
    <w:rsid w:val="13E1581F"/>
    <w:rsid w:val="1824217E"/>
    <w:rsid w:val="1840063A"/>
    <w:rsid w:val="18561C0B"/>
    <w:rsid w:val="185A32DE"/>
    <w:rsid w:val="18D71108"/>
    <w:rsid w:val="18E436BB"/>
    <w:rsid w:val="190E24E6"/>
    <w:rsid w:val="19F93196"/>
    <w:rsid w:val="1B040045"/>
    <w:rsid w:val="1B9118D8"/>
    <w:rsid w:val="1DCE2742"/>
    <w:rsid w:val="1E20147D"/>
    <w:rsid w:val="1F5A6485"/>
    <w:rsid w:val="204F1D62"/>
    <w:rsid w:val="20EE157B"/>
    <w:rsid w:val="2120725A"/>
    <w:rsid w:val="22AA14D2"/>
    <w:rsid w:val="22B70B00"/>
    <w:rsid w:val="22BC3D3E"/>
    <w:rsid w:val="22CA5FBD"/>
    <w:rsid w:val="22F64717"/>
    <w:rsid w:val="232E2103"/>
    <w:rsid w:val="246D0A09"/>
    <w:rsid w:val="24A45B23"/>
    <w:rsid w:val="253908EB"/>
    <w:rsid w:val="2551032A"/>
    <w:rsid w:val="25950217"/>
    <w:rsid w:val="25CE3729"/>
    <w:rsid w:val="25F413E1"/>
    <w:rsid w:val="279462AC"/>
    <w:rsid w:val="27EB411E"/>
    <w:rsid w:val="27F82CDF"/>
    <w:rsid w:val="29015BC3"/>
    <w:rsid w:val="29183639"/>
    <w:rsid w:val="29D84B76"/>
    <w:rsid w:val="2A7C3754"/>
    <w:rsid w:val="2AA95BBE"/>
    <w:rsid w:val="2AF82FCF"/>
    <w:rsid w:val="2B0905A0"/>
    <w:rsid w:val="2B1F38E5"/>
    <w:rsid w:val="2B30453E"/>
    <w:rsid w:val="2B8C3E6A"/>
    <w:rsid w:val="2B8D373E"/>
    <w:rsid w:val="2C8114F5"/>
    <w:rsid w:val="2D713ED7"/>
    <w:rsid w:val="2E254102"/>
    <w:rsid w:val="2E422F06"/>
    <w:rsid w:val="2E7B1F74"/>
    <w:rsid w:val="2E7E227D"/>
    <w:rsid w:val="2EFE6E2D"/>
    <w:rsid w:val="2F4D1B62"/>
    <w:rsid w:val="2F5051AF"/>
    <w:rsid w:val="2F77098D"/>
    <w:rsid w:val="2FC02334"/>
    <w:rsid w:val="2FE14059"/>
    <w:rsid w:val="30D81900"/>
    <w:rsid w:val="319A0963"/>
    <w:rsid w:val="31AA0873"/>
    <w:rsid w:val="31D67BED"/>
    <w:rsid w:val="31E70FAE"/>
    <w:rsid w:val="3220530C"/>
    <w:rsid w:val="3236068C"/>
    <w:rsid w:val="32382656"/>
    <w:rsid w:val="3264228F"/>
    <w:rsid w:val="32D57EA5"/>
    <w:rsid w:val="335C4122"/>
    <w:rsid w:val="33B51B63"/>
    <w:rsid w:val="340A6274"/>
    <w:rsid w:val="340C3D9A"/>
    <w:rsid w:val="34254732"/>
    <w:rsid w:val="347E456C"/>
    <w:rsid w:val="351D1FD7"/>
    <w:rsid w:val="35447564"/>
    <w:rsid w:val="365E28A7"/>
    <w:rsid w:val="36D93CDC"/>
    <w:rsid w:val="373B6744"/>
    <w:rsid w:val="375A2EF1"/>
    <w:rsid w:val="376B527C"/>
    <w:rsid w:val="383A69FC"/>
    <w:rsid w:val="38564001"/>
    <w:rsid w:val="389B749B"/>
    <w:rsid w:val="38D31AC0"/>
    <w:rsid w:val="38E54BBA"/>
    <w:rsid w:val="39561614"/>
    <w:rsid w:val="3A1C460B"/>
    <w:rsid w:val="3A2D05C6"/>
    <w:rsid w:val="3A777A93"/>
    <w:rsid w:val="3B2415F7"/>
    <w:rsid w:val="3B443E1A"/>
    <w:rsid w:val="3B783AC3"/>
    <w:rsid w:val="3B7F18E1"/>
    <w:rsid w:val="3B800BCA"/>
    <w:rsid w:val="3C640993"/>
    <w:rsid w:val="3D94095C"/>
    <w:rsid w:val="3DC7000C"/>
    <w:rsid w:val="3E8F1850"/>
    <w:rsid w:val="3ECF4342"/>
    <w:rsid w:val="3FB35A12"/>
    <w:rsid w:val="40AC03DF"/>
    <w:rsid w:val="418C02C8"/>
    <w:rsid w:val="42350960"/>
    <w:rsid w:val="426254CD"/>
    <w:rsid w:val="42666D6B"/>
    <w:rsid w:val="426C3C56"/>
    <w:rsid w:val="429C5115"/>
    <w:rsid w:val="432D1637"/>
    <w:rsid w:val="43642E08"/>
    <w:rsid w:val="43957F31"/>
    <w:rsid w:val="44DC1567"/>
    <w:rsid w:val="44E67CEF"/>
    <w:rsid w:val="44FC5765"/>
    <w:rsid w:val="46346BEC"/>
    <w:rsid w:val="464C44CA"/>
    <w:rsid w:val="466E78A8"/>
    <w:rsid w:val="46745558"/>
    <w:rsid w:val="4698770F"/>
    <w:rsid w:val="46CC73B9"/>
    <w:rsid w:val="47480B36"/>
    <w:rsid w:val="479003E6"/>
    <w:rsid w:val="48B84099"/>
    <w:rsid w:val="48F36E7F"/>
    <w:rsid w:val="49725FF6"/>
    <w:rsid w:val="4A176B9D"/>
    <w:rsid w:val="4A745D9D"/>
    <w:rsid w:val="4AFC64BF"/>
    <w:rsid w:val="4B676474"/>
    <w:rsid w:val="4B75001F"/>
    <w:rsid w:val="4C343F17"/>
    <w:rsid w:val="4C620AAB"/>
    <w:rsid w:val="4CBB7CB4"/>
    <w:rsid w:val="4D2C0BB1"/>
    <w:rsid w:val="4D9724CF"/>
    <w:rsid w:val="4DCD5EF0"/>
    <w:rsid w:val="4F133DD7"/>
    <w:rsid w:val="50106568"/>
    <w:rsid w:val="502C4817"/>
    <w:rsid w:val="504A7CCC"/>
    <w:rsid w:val="50C11611"/>
    <w:rsid w:val="51087240"/>
    <w:rsid w:val="516C66C5"/>
    <w:rsid w:val="518C64EF"/>
    <w:rsid w:val="51BC69A8"/>
    <w:rsid w:val="51CB0999"/>
    <w:rsid w:val="522956BF"/>
    <w:rsid w:val="52AF2069"/>
    <w:rsid w:val="53530C46"/>
    <w:rsid w:val="539D6365"/>
    <w:rsid w:val="53AE4D24"/>
    <w:rsid w:val="53BA0CC5"/>
    <w:rsid w:val="54521D48"/>
    <w:rsid w:val="545A6004"/>
    <w:rsid w:val="54776BB6"/>
    <w:rsid w:val="548B2661"/>
    <w:rsid w:val="54BD1520"/>
    <w:rsid w:val="5503044A"/>
    <w:rsid w:val="554724E4"/>
    <w:rsid w:val="554F368F"/>
    <w:rsid w:val="556E7FB9"/>
    <w:rsid w:val="564B20A8"/>
    <w:rsid w:val="570D7FA7"/>
    <w:rsid w:val="57680A38"/>
    <w:rsid w:val="57CA34A1"/>
    <w:rsid w:val="58753DB9"/>
    <w:rsid w:val="58A14202"/>
    <w:rsid w:val="58F76517"/>
    <w:rsid w:val="590D2CBD"/>
    <w:rsid w:val="591C1ADA"/>
    <w:rsid w:val="59BB5797"/>
    <w:rsid w:val="59D14FBA"/>
    <w:rsid w:val="59E00B11"/>
    <w:rsid w:val="5A355549"/>
    <w:rsid w:val="5A5534F6"/>
    <w:rsid w:val="5A7A3EAC"/>
    <w:rsid w:val="5BCA7F13"/>
    <w:rsid w:val="5BE16D34"/>
    <w:rsid w:val="5C225659"/>
    <w:rsid w:val="5EC073AC"/>
    <w:rsid w:val="5F24793A"/>
    <w:rsid w:val="5F795ED8"/>
    <w:rsid w:val="5FC44C79"/>
    <w:rsid w:val="5FCC24AC"/>
    <w:rsid w:val="5FE760CD"/>
    <w:rsid w:val="603663D2"/>
    <w:rsid w:val="60B719D8"/>
    <w:rsid w:val="60FB0B6F"/>
    <w:rsid w:val="615A19EE"/>
    <w:rsid w:val="6192502F"/>
    <w:rsid w:val="624D20B8"/>
    <w:rsid w:val="626C3AD2"/>
    <w:rsid w:val="628A3DF1"/>
    <w:rsid w:val="62972B7A"/>
    <w:rsid w:val="637846F9"/>
    <w:rsid w:val="647F4D8D"/>
    <w:rsid w:val="64986E00"/>
    <w:rsid w:val="64A137DB"/>
    <w:rsid w:val="64CA5B73"/>
    <w:rsid w:val="64CC0858"/>
    <w:rsid w:val="651421FF"/>
    <w:rsid w:val="655C3587"/>
    <w:rsid w:val="66152672"/>
    <w:rsid w:val="6683763C"/>
    <w:rsid w:val="66F347C2"/>
    <w:rsid w:val="67256946"/>
    <w:rsid w:val="6793565D"/>
    <w:rsid w:val="67CE48E7"/>
    <w:rsid w:val="682409AB"/>
    <w:rsid w:val="68420E31"/>
    <w:rsid w:val="68AB2E7A"/>
    <w:rsid w:val="68E1689C"/>
    <w:rsid w:val="690E58E3"/>
    <w:rsid w:val="69222322"/>
    <w:rsid w:val="69280027"/>
    <w:rsid w:val="699456BD"/>
    <w:rsid w:val="69B1626F"/>
    <w:rsid w:val="69F24F19"/>
    <w:rsid w:val="6B560E7C"/>
    <w:rsid w:val="6B6F1F3D"/>
    <w:rsid w:val="6C65391E"/>
    <w:rsid w:val="6C9854C4"/>
    <w:rsid w:val="6CD75FEC"/>
    <w:rsid w:val="6CDF30F3"/>
    <w:rsid w:val="6D9C0FE4"/>
    <w:rsid w:val="6D9D5488"/>
    <w:rsid w:val="6E9817AB"/>
    <w:rsid w:val="6EE91ECE"/>
    <w:rsid w:val="6F857F81"/>
    <w:rsid w:val="6F8D32DA"/>
    <w:rsid w:val="6FA36659"/>
    <w:rsid w:val="6FEF7AF1"/>
    <w:rsid w:val="70375EBE"/>
    <w:rsid w:val="70E272B2"/>
    <w:rsid w:val="7161057A"/>
    <w:rsid w:val="719B7F30"/>
    <w:rsid w:val="72785B7B"/>
    <w:rsid w:val="73171838"/>
    <w:rsid w:val="73331EF0"/>
    <w:rsid w:val="73B76B77"/>
    <w:rsid w:val="76911902"/>
    <w:rsid w:val="771F2A69"/>
    <w:rsid w:val="7725204A"/>
    <w:rsid w:val="772B7660"/>
    <w:rsid w:val="77B227F5"/>
    <w:rsid w:val="77CE3E25"/>
    <w:rsid w:val="77F004F0"/>
    <w:rsid w:val="78236589"/>
    <w:rsid w:val="782817B3"/>
    <w:rsid w:val="786372CE"/>
    <w:rsid w:val="78D21D5D"/>
    <w:rsid w:val="792627D5"/>
    <w:rsid w:val="79BC0A44"/>
    <w:rsid w:val="79E24C76"/>
    <w:rsid w:val="7A2D450C"/>
    <w:rsid w:val="7A995229"/>
    <w:rsid w:val="7BAC2023"/>
    <w:rsid w:val="7BD858DD"/>
    <w:rsid w:val="7C1C0647"/>
    <w:rsid w:val="7C354ADD"/>
    <w:rsid w:val="7D0746CC"/>
    <w:rsid w:val="7DB83C18"/>
    <w:rsid w:val="7E292138"/>
    <w:rsid w:val="7E655B4E"/>
    <w:rsid w:val="7EA47930"/>
    <w:rsid w:val="7F10538E"/>
    <w:rsid w:val="7F527438"/>
    <w:rsid w:val="7F754799"/>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autoRedefine/>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autoRedefine/>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156"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468"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autoRedefine/>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frame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正文1"/>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012349448214F8B9122B933ED4AA7AE"/>
        <w:style w:val=""/>
        <w:category>
          <w:name w:val="常规"/>
          <w:gallery w:val="placeholder"/>
        </w:category>
        <w:types>
          <w:type w:val="bbPlcHdr"/>
        </w:types>
        <w:behaviors>
          <w:behavior w:val="content"/>
        </w:behaviors>
        <w:description w:val=""/>
        <w:guid w:val="{144CB0F6-9261-41B8-8710-F8851B13E57E}"/>
      </w:docPartPr>
      <w:docPartBody>
        <w:p>
          <w:pPr>
            <w:pStyle w:val="5"/>
          </w:pPr>
          <w:r>
            <w:rPr>
              <w:rStyle w:val="4"/>
              <w:rFonts w:hint="eastAsia"/>
            </w:rPr>
            <w:t>单击或点击此处输入文字。</w:t>
          </w:r>
        </w:p>
      </w:docPartBody>
    </w:docPart>
    <w:docPart>
      <w:docPartPr>
        <w:name w:val="F0E08791BE204F10A7ED23E2158DC239"/>
        <w:style w:val=""/>
        <w:category>
          <w:name w:val="常规"/>
          <w:gallery w:val="placeholder"/>
        </w:category>
        <w:types>
          <w:type w:val="bbPlcHdr"/>
        </w:types>
        <w:behaviors>
          <w:behavior w:val="content"/>
        </w:behaviors>
        <w:description w:val=""/>
        <w:guid w:val="{47DC9EBB-5FDA-4FBD-8B21-1FCBA7307DAB}"/>
      </w:docPartPr>
      <w:docPartBody>
        <w:p>
          <w:pPr>
            <w:pStyle w:val="6"/>
          </w:pPr>
          <w:r>
            <w:rPr>
              <w:rStyle w:val="4"/>
              <w:rFonts w:hint="eastAsia"/>
            </w:rPr>
            <w:t>选择一项。</w:t>
          </w:r>
        </w:p>
      </w:docPartBody>
    </w:docPart>
    <w:docPart>
      <w:docPartPr>
        <w:name w:val="971594C601DA4A63B604A96D11F5EF27"/>
        <w:style w:val=""/>
        <w:category>
          <w:name w:val="常规"/>
          <w:gallery w:val="placeholder"/>
        </w:category>
        <w:types>
          <w:type w:val="bbPlcHdr"/>
        </w:types>
        <w:behaviors>
          <w:behavior w:val="content"/>
        </w:behaviors>
        <w:description w:val=""/>
        <w:guid w:val="{799911AE-939D-4DCF-91A1-254CCA06FBB6}"/>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58F"/>
    <w:rsid w:val="000E5C4C"/>
    <w:rsid w:val="00246D3A"/>
    <w:rsid w:val="007C158F"/>
    <w:rsid w:val="00A47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autoRedefine/>
    <w:semiHidden/>
    <w:unhideWhenUsed/>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E012349448214F8B9122B933ED4AA7A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0E08791BE204F10A7ED23E2158DC2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71594C601DA4A63B604A96D11F5EF2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9B0920-C0D1-4AF4-8E59-3C73CE29AD71}">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719</Words>
  <Characters>4103</Characters>
  <Lines>34</Lines>
  <Paragraphs>9</Paragraphs>
  <TotalTime>0</TotalTime>
  <ScaleCrop>false</ScaleCrop>
  <LinksUpToDate>false</LinksUpToDate>
  <CharactersWithSpaces>4813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2024-03-27T06:03:00Z</dcterms:created>
  <dc:creator>wjune1127</dc:creator>
  <dc:description>&lt;config cover="true" show_menu="true" version="1.0.0" doctype="SDKXY"&gt;_x000d_
&lt;/config&gt;</dc:description>
  <cp:lastModifiedBy>June Wang</cp:lastModifiedBy>
  <cp:lastPrinted>2024-04-19T15:39:00Z</cp:lastPrinted>
  <dcterms:modified xsi:type="dcterms:W3CDTF">2024-05-13T11:01:00Z</dcterms:modified>
  <dc:title>地方标准</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C0F5FD5C38254ED2BA64830E430F0CC2_12</vt:lpwstr>
  </property>
</Properties>
</file>